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《电路一（821）、电路二（826）》考试大纲</w:t>
      </w:r>
    </w:p>
    <w:p>
      <w:pPr>
        <w:numPr>
          <w:ilvl w:val="0"/>
          <w:numId w:val="1"/>
        </w:numPr>
        <w:spacing w:before="312" w:beforeLines="10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考试要求和重点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掌握基本的线性集总电路定理，包括叠加定理、替代定理、戴维南和诺顿定理、最大功率传输定理、特勒根定理、互易定理等；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  <w:szCs w:val="21"/>
        </w:rPr>
      </w:pPr>
      <w:r>
        <w:rPr>
          <w:rFonts w:hint="eastAsia"/>
          <w:sz w:val="24"/>
          <w:szCs w:val="21"/>
        </w:rPr>
        <w:t>掌握基本的线性集总电路分析方法，包括等效变换法、支路法、回路（网孔）法、节点法等；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掌握理想运算放大器电路分析方法；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掌握一阶、二阶动态电路分析方法；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掌握基本的正弦稳态电路分析方法，以及耦合电感电路与三相电路的分析；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掌握</w:t>
      </w:r>
      <w:r>
        <w:rPr>
          <w:rFonts w:hint="eastAsia"/>
          <w:bCs/>
          <w:sz w:val="24"/>
          <w:szCs w:val="21"/>
        </w:rPr>
        <w:t>非正弦周期电流电路的分析</w:t>
      </w:r>
      <w:r>
        <w:rPr>
          <w:rFonts w:hint="eastAsia"/>
          <w:sz w:val="24"/>
          <w:szCs w:val="21"/>
        </w:rPr>
        <w:t>；</w:t>
      </w:r>
    </w:p>
    <w:p>
      <w:pPr>
        <w:numPr>
          <w:ilvl w:val="0"/>
          <w:numId w:val="2"/>
        </w:numPr>
        <w:tabs>
          <w:tab w:val="left" w:pos="612"/>
          <w:tab w:val="clear" w:pos="1140"/>
        </w:tabs>
        <w:spacing w:line="360" w:lineRule="auto"/>
        <w:ind w:left="612" w:hanging="360"/>
        <w:rPr>
          <w:rFonts w:hint="eastAsia"/>
          <w:sz w:val="24"/>
        </w:rPr>
      </w:pPr>
      <w:r>
        <w:rPr>
          <w:rFonts w:hint="eastAsia"/>
          <w:sz w:val="24"/>
          <w:szCs w:val="21"/>
        </w:rPr>
        <w:t>了解二端口网络的性质，掌握二端口网络基本参数的定义与求取方法、二端口的等效电路与连接方式。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1"/>
        </w:numPr>
        <w:spacing w:before="156" w:beforeLines="5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题型</w:t>
      </w:r>
    </w:p>
    <w:p>
      <w:pPr>
        <w:spacing w:line="360" w:lineRule="auto"/>
        <w:ind w:left="480"/>
        <w:rPr>
          <w:rFonts w:hint="eastAsia"/>
          <w:sz w:val="24"/>
        </w:rPr>
      </w:pPr>
      <w:r>
        <w:rPr>
          <w:rFonts w:hint="eastAsia"/>
          <w:sz w:val="24"/>
        </w:rPr>
        <w:t>试卷满分为150分，其中：填空选择题占30%，计算分析题占70%。</w:t>
      </w:r>
    </w:p>
    <w:p>
      <w:pPr>
        <w:numPr>
          <w:ilvl w:val="0"/>
          <w:numId w:val="1"/>
        </w:numPr>
        <w:spacing w:before="156" w:beforeLines="50" w:line="360" w:lineRule="auto"/>
        <w:ind w:left="482" w:hanging="482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参考教材</w:t>
      </w:r>
    </w:p>
    <w:p>
      <w:pPr>
        <w:ind w:firstLine="480" w:firstLineChars="200"/>
        <w:rPr>
          <w:rFonts w:hint="eastAsia"/>
          <w:b/>
          <w:sz w:val="32"/>
          <w:szCs w:val="32"/>
        </w:rPr>
      </w:pPr>
      <w:r>
        <w:rPr>
          <w:sz w:val="24"/>
        </w:rPr>
        <w:t>邱关源</w:t>
      </w:r>
      <w:r>
        <w:rPr>
          <w:rFonts w:hint="eastAsia"/>
          <w:sz w:val="24"/>
        </w:rPr>
        <w:t>，《</w:t>
      </w:r>
      <w:r>
        <w:rPr>
          <w:sz w:val="24"/>
        </w:rPr>
        <w:t>电路》</w:t>
      </w:r>
      <w:r>
        <w:rPr>
          <w:rFonts w:hint="eastAsia"/>
          <w:sz w:val="24"/>
        </w:rPr>
        <w:t>（</w:t>
      </w:r>
      <w:r>
        <w:rPr>
          <w:sz w:val="24"/>
        </w:rPr>
        <w:t>第五版</w:t>
      </w:r>
      <w:r>
        <w:rPr>
          <w:rFonts w:hint="eastAsia"/>
          <w:sz w:val="24"/>
        </w:rPr>
        <w:t>或第四版），</w:t>
      </w:r>
      <w:r>
        <w:rPr>
          <w:sz w:val="24"/>
        </w:rPr>
        <w:t>高等教育出版社</w:t>
      </w:r>
    </w:p>
    <w:p>
      <w:pPr>
        <w:rPr>
          <w:rFonts w:hint="eastAsia" w:ascii="仿宋_GB2312" w:hAnsi="宋体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CE6893"/>
    <w:multiLevelType w:val="multilevel"/>
    <w:tmpl w:val="43CE6893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E545988"/>
    <w:multiLevelType w:val="multilevel"/>
    <w:tmpl w:val="6E545988"/>
    <w:lvl w:ilvl="0" w:tentative="0">
      <w:start w:val="1"/>
      <w:numFmt w:val="decimal"/>
      <w:lvlText w:val="%1."/>
      <w:lvlJc w:val="left"/>
      <w:pPr>
        <w:tabs>
          <w:tab w:val="left" w:pos="1140"/>
        </w:tabs>
        <w:ind w:left="1140" w:hanging="6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5"/>
    <w:rsid w:val="000414F4"/>
    <w:rsid w:val="00057211"/>
    <w:rsid w:val="00092270"/>
    <w:rsid w:val="000F0F77"/>
    <w:rsid w:val="00106544"/>
    <w:rsid w:val="00110836"/>
    <w:rsid w:val="00130728"/>
    <w:rsid w:val="001920FC"/>
    <w:rsid w:val="001B2162"/>
    <w:rsid w:val="001D6516"/>
    <w:rsid w:val="00276B91"/>
    <w:rsid w:val="00294B99"/>
    <w:rsid w:val="003115F6"/>
    <w:rsid w:val="003434B1"/>
    <w:rsid w:val="003F3D06"/>
    <w:rsid w:val="00424D46"/>
    <w:rsid w:val="00455FF7"/>
    <w:rsid w:val="00492F61"/>
    <w:rsid w:val="0049526F"/>
    <w:rsid w:val="004A3035"/>
    <w:rsid w:val="00530676"/>
    <w:rsid w:val="00593A20"/>
    <w:rsid w:val="005A2D14"/>
    <w:rsid w:val="0060395F"/>
    <w:rsid w:val="006B20BB"/>
    <w:rsid w:val="007200A7"/>
    <w:rsid w:val="007516F3"/>
    <w:rsid w:val="00785471"/>
    <w:rsid w:val="007A5006"/>
    <w:rsid w:val="007C3B1E"/>
    <w:rsid w:val="007D53F5"/>
    <w:rsid w:val="00862141"/>
    <w:rsid w:val="00863B4A"/>
    <w:rsid w:val="008E21D5"/>
    <w:rsid w:val="00924DE9"/>
    <w:rsid w:val="00946668"/>
    <w:rsid w:val="009653F4"/>
    <w:rsid w:val="00A1615F"/>
    <w:rsid w:val="00A33984"/>
    <w:rsid w:val="00A95A91"/>
    <w:rsid w:val="00AB7C24"/>
    <w:rsid w:val="00B53F74"/>
    <w:rsid w:val="00B57E83"/>
    <w:rsid w:val="00B71E65"/>
    <w:rsid w:val="00BB3740"/>
    <w:rsid w:val="00BD51E4"/>
    <w:rsid w:val="00BD6469"/>
    <w:rsid w:val="00BE0731"/>
    <w:rsid w:val="00BF75EF"/>
    <w:rsid w:val="00C510DF"/>
    <w:rsid w:val="00C84DC9"/>
    <w:rsid w:val="00D0255A"/>
    <w:rsid w:val="00D46B5E"/>
    <w:rsid w:val="00D51229"/>
    <w:rsid w:val="00D65180"/>
    <w:rsid w:val="00D6657D"/>
    <w:rsid w:val="00DA0B13"/>
    <w:rsid w:val="00DC6E6A"/>
    <w:rsid w:val="00E77386"/>
    <w:rsid w:val="00F16EDC"/>
    <w:rsid w:val="00F22502"/>
    <w:rsid w:val="00F8785E"/>
    <w:rsid w:val="00FF23C8"/>
    <w:rsid w:val="6BB47C8B"/>
    <w:rsid w:val="6C211F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uiPriority w:val="0"/>
    <w:pPr>
      <w:ind w:firstLine="456" w:firstLineChars="217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Emphasis"/>
    <w:qFormat/>
    <w:uiPriority w:val="0"/>
    <w:rPr>
      <w:color w:val="CC0000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2013-07-03T14:32:00Z</dcterms:created>
  <dc:creator> hu</dc:creator>
  <cp:lastModifiedBy>vertesyuan</cp:lastModifiedBy>
  <cp:lastPrinted>2009-06-24T01:15:00Z</cp:lastPrinted>
  <dcterms:modified xsi:type="dcterms:W3CDTF">2022-10-09T07:57:08Z</dcterms:modified>
  <dc:title>附件1：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EBEA236D09344FE5BB2709CDF0C0105B</vt:lpwstr>
  </property>
</Properties>
</file>