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黑体" w:eastAsia="黑体"/>
          <w:b/>
          <w:sz w:val="32"/>
          <w:szCs w:val="32"/>
        </w:rPr>
      </w:pPr>
      <w:bookmarkStart w:id="0" w:name="_GoBack"/>
      <w:bookmarkEnd w:id="0"/>
    </w:p>
    <w:p>
      <w:pPr>
        <w:spacing w:line="400" w:lineRule="exact"/>
        <w:jc w:val="center"/>
        <w:rPr>
          <w:rFonts w:hint="eastAsia" w:ascii="黑体" w:eastAsia="黑体"/>
          <w:b/>
          <w:sz w:val="32"/>
          <w:szCs w:val="32"/>
        </w:rPr>
      </w:pPr>
      <w:r>
        <w:rPr>
          <w:rFonts w:hint="eastAsia" w:ascii="黑体" w:eastAsia="黑体"/>
          <w:b/>
          <w:sz w:val="32"/>
          <w:szCs w:val="32"/>
        </w:rPr>
        <w:t>2024年宁波大学硕士研究生招生考试初试科目</w:t>
      </w:r>
      <w:r>
        <w:rPr>
          <w:rFonts w:ascii="黑体" w:eastAsia="黑体"/>
          <w:b/>
          <w:sz w:val="32"/>
          <w:szCs w:val="32"/>
        </w:rPr>
        <w:br w:type="textWrapping"/>
      </w:r>
      <w:r>
        <w:rPr>
          <w:rFonts w:hint="eastAsia" w:ascii="黑体" w:eastAsia="黑体"/>
          <w:b/>
          <w:sz w:val="32"/>
          <w:szCs w:val="32"/>
        </w:rPr>
        <w:t>考　试　大　纲</w:t>
      </w:r>
    </w:p>
    <w:p>
      <w:pPr>
        <w:spacing w:line="400" w:lineRule="exact"/>
        <w:jc w:val="center"/>
        <w:rPr>
          <w:rFonts w:hint="eastAsia" w:ascii="黑体" w:eastAsia="黑体"/>
          <w:b/>
          <w:sz w:val="32"/>
          <w:szCs w:val="32"/>
        </w:rPr>
      </w:pPr>
    </w:p>
    <w:tbl>
      <w:tblPr>
        <w:tblStyle w:val="6"/>
        <w:tblW w:w="0" w:type="auto"/>
        <w:jc w:val="center"/>
        <w:tblLayout w:type="fixed"/>
        <w:tblCellMar>
          <w:top w:w="0" w:type="dxa"/>
          <w:left w:w="108" w:type="dxa"/>
          <w:bottom w:w="0" w:type="dxa"/>
          <w:right w:w="108" w:type="dxa"/>
        </w:tblCellMar>
      </w:tblPr>
      <w:tblGrid>
        <w:gridCol w:w="1937"/>
        <w:gridCol w:w="6271"/>
      </w:tblGrid>
      <w:tr>
        <w:tblPrEx>
          <w:tblCellMar>
            <w:top w:w="0" w:type="dxa"/>
            <w:left w:w="108" w:type="dxa"/>
            <w:bottom w:w="0" w:type="dxa"/>
            <w:right w:w="108" w:type="dxa"/>
          </w:tblCellMar>
        </w:tblPrEx>
        <w:trPr>
          <w:trHeight w:val="482" w:hRule="atLeast"/>
          <w:jc w:val="center"/>
        </w:trPr>
        <w:tc>
          <w:tcPr>
            <w:tcW w:w="1937" w:type="dxa"/>
            <w:noWrap w:val="0"/>
            <w:vAlign w:val="center"/>
          </w:tcPr>
          <w:p>
            <w:pPr>
              <w:snapToGrid w:val="0"/>
              <w:ind w:left="-105" w:leftChars="-50" w:right="-105" w:rightChars="-50"/>
              <w:jc w:val="center"/>
              <w:rPr>
                <w:rFonts w:hint="eastAsia" w:ascii="宋体" w:hAnsi="宋体"/>
                <w:b/>
                <w:szCs w:val="21"/>
              </w:rPr>
            </w:pPr>
            <w:r>
              <w:rPr>
                <w:rFonts w:hint="eastAsia" w:ascii="宋体" w:hAnsi="宋体"/>
                <w:b/>
                <w:szCs w:val="21"/>
              </w:rPr>
              <w:t>科目代码、名称:</w:t>
            </w:r>
          </w:p>
        </w:tc>
        <w:tc>
          <w:tcPr>
            <w:tcW w:w="6271" w:type="dxa"/>
            <w:tcBorders>
              <w:bottom w:val="single" w:color="auto" w:sz="4" w:space="0"/>
            </w:tcBorders>
            <w:noWrap w:val="0"/>
            <w:vAlign w:val="center"/>
          </w:tcPr>
          <w:p>
            <w:pPr>
              <w:pStyle w:val="2"/>
              <w:snapToGrid w:val="0"/>
              <w:spacing w:before="0" w:after="0" w:line="240" w:lineRule="auto"/>
              <w:jc w:val="center"/>
              <w:rPr>
                <w:rFonts w:hint="eastAsia"/>
                <w:sz w:val="21"/>
                <w:szCs w:val="21"/>
              </w:rPr>
            </w:pPr>
            <w:r>
              <w:rPr>
                <w:rFonts w:hint="eastAsia"/>
                <w:color w:val="000000"/>
                <w:sz w:val="21"/>
                <w:szCs w:val="21"/>
              </w:rPr>
              <w:t xml:space="preserve">827 </w:t>
            </w:r>
            <w:r>
              <w:rPr>
                <w:color w:val="000000"/>
                <w:sz w:val="21"/>
                <w:szCs w:val="21"/>
              </w:rPr>
              <w:t>当代中国政治制度</w:t>
            </w:r>
          </w:p>
        </w:tc>
      </w:tr>
    </w:tbl>
    <w:p>
      <w:pPr>
        <w:snapToGrid w:val="0"/>
        <w:spacing w:before="156" w:beforeLines="50"/>
        <w:ind w:left="2" w:hanging="2"/>
        <w:rPr>
          <w:rFonts w:hint="eastAsia"/>
          <w:b/>
          <w:sz w:val="28"/>
          <w:szCs w:val="28"/>
        </w:rPr>
      </w:pPr>
    </w:p>
    <w:p>
      <w:pPr>
        <w:snapToGrid w:val="0"/>
        <w:spacing w:before="156" w:beforeLines="50"/>
        <w:ind w:left="2" w:hanging="2"/>
        <w:rPr>
          <w:rFonts w:hint="eastAsia"/>
          <w:b/>
          <w:sz w:val="28"/>
          <w:szCs w:val="28"/>
        </w:rPr>
      </w:pPr>
      <w:r>
        <w:rPr>
          <w:rFonts w:hint="eastAsia"/>
          <w:b/>
          <w:sz w:val="28"/>
          <w:szCs w:val="28"/>
        </w:rPr>
        <w:t>一、考试形式与试卷结构</w:t>
      </w:r>
    </w:p>
    <w:p>
      <w:pPr>
        <w:pStyle w:val="11"/>
        <w:snapToGrid w:val="0"/>
        <w:spacing w:before="156" w:beforeLines="50" w:line="360" w:lineRule="auto"/>
        <w:ind w:firstLine="422"/>
        <w:rPr>
          <w:rFonts w:hint="eastAsia" w:ascii="新宋体" w:hAnsi="新宋体" w:eastAsia="新宋体"/>
          <w:b/>
          <w:szCs w:val="21"/>
        </w:rPr>
      </w:pPr>
      <w:r>
        <w:rPr>
          <w:rFonts w:hint="eastAsia" w:ascii="新宋体" w:hAnsi="新宋体" w:eastAsia="新宋体"/>
          <w:b/>
          <w:szCs w:val="21"/>
        </w:rPr>
        <w:t>（一）试卷满分值及考试时间</w:t>
      </w:r>
    </w:p>
    <w:p>
      <w:pPr>
        <w:pStyle w:val="10"/>
        <w:snapToGrid w:val="0"/>
        <w:spacing w:before="156" w:beforeLines="50" w:line="360" w:lineRule="auto"/>
        <w:rPr>
          <w:rFonts w:ascii="新宋体" w:hAnsi="新宋体" w:eastAsia="新宋体"/>
          <w:szCs w:val="21"/>
        </w:rPr>
      </w:pPr>
      <w:r>
        <w:rPr>
          <w:rFonts w:hint="eastAsia" w:ascii="新宋体" w:hAnsi="新宋体" w:eastAsia="新宋体"/>
          <w:szCs w:val="21"/>
        </w:rPr>
        <w:t>本试卷满分为150分，考试时间为180分钟。</w:t>
      </w:r>
    </w:p>
    <w:p>
      <w:pPr>
        <w:pStyle w:val="11"/>
        <w:snapToGrid w:val="0"/>
        <w:spacing w:before="156" w:beforeLines="50" w:line="360" w:lineRule="auto"/>
        <w:ind w:firstLine="422"/>
        <w:rPr>
          <w:rFonts w:ascii="新宋体" w:hAnsi="新宋体" w:eastAsia="新宋体"/>
          <w:b/>
          <w:szCs w:val="21"/>
        </w:rPr>
      </w:pPr>
      <w:r>
        <w:rPr>
          <w:rFonts w:hint="eastAsia" w:ascii="新宋体" w:hAnsi="新宋体" w:eastAsia="新宋体"/>
          <w:b/>
          <w:szCs w:val="21"/>
        </w:rPr>
        <w:t>（二）答题方式</w:t>
      </w:r>
    </w:p>
    <w:p>
      <w:pPr>
        <w:pStyle w:val="11"/>
        <w:snapToGrid w:val="0"/>
        <w:spacing w:before="156" w:beforeLines="50" w:line="360" w:lineRule="auto"/>
        <w:rPr>
          <w:rFonts w:hint="eastAsia" w:ascii="新宋体" w:hAnsi="新宋体" w:eastAsia="新宋体"/>
          <w:szCs w:val="21"/>
        </w:rPr>
      </w:pPr>
      <w:r>
        <w:rPr>
          <w:rFonts w:hint="eastAsia" w:ascii="新宋体" w:hAnsi="新宋体" w:eastAsia="新宋体"/>
          <w:szCs w:val="21"/>
        </w:rPr>
        <w:t>答题方式为闭卷、笔试。试卷由试题和答题纸组成；答案必须写在答题纸（由考点提供）相应位置上。</w:t>
      </w:r>
    </w:p>
    <w:p>
      <w:pPr>
        <w:snapToGrid w:val="0"/>
        <w:spacing w:before="156" w:beforeLines="50"/>
        <w:ind w:left="2" w:hanging="2"/>
        <w:rPr>
          <w:rFonts w:hint="eastAsia"/>
          <w:b/>
          <w:sz w:val="28"/>
          <w:szCs w:val="28"/>
        </w:rPr>
      </w:pPr>
      <w:r>
        <w:rPr>
          <w:rFonts w:hint="eastAsia"/>
          <w:b/>
          <w:sz w:val="28"/>
          <w:szCs w:val="28"/>
        </w:rPr>
        <w:t>二、题型分布</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1.辨析题</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2.简答题</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3.论述题</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4.材料题</w:t>
      </w:r>
    </w:p>
    <w:p>
      <w:pPr>
        <w:snapToGrid w:val="0"/>
        <w:spacing w:before="156" w:beforeLines="50"/>
        <w:ind w:left="2" w:hanging="2"/>
        <w:rPr>
          <w:rFonts w:hint="eastAsia"/>
          <w:b/>
          <w:sz w:val="28"/>
          <w:szCs w:val="28"/>
        </w:rPr>
      </w:pPr>
      <w:r>
        <w:rPr>
          <w:rFonts w:hint="eastAsia"/>
          <w:b/>
          <w:sz w:val="28"/>
          <w:szCs w:val="28"/>
        </w:rPr>
        <w:t>三、考试内容与简介</w:t>
      </w:r>
    </w:p>
    <w:p>
      <w:pPr>
        <w:snapToGrid w:val="0"/>
        <w:spacing w:before="156" w:beforeLines="50"/>
        <w:ind w:left="2" w:hanging="2"/>
        <w:jc w:val="center"/>
        <w:rPr>
          <w:b/>
          <w:sz w:val="28"/>
          <w:szCs w:val="28"/>
        </w:rPr>
      </w:pPr>
      <w:r>
        <w:rPr>
          <w:b/>
          <w:sz w:val="28"/>
          <w:szCs w:val="28"/>
        </w:rPr>
        <w:br w:type="page"/>
      </w:r>
    </w:p>
    <w:p>
      <w:pPr>
        <w:adjustRightInd w:val="0"/>
        <w:snapToGrid w:val="0"/>
        <w:spacing w:before="120" w:after="156" w:afterLines="50"/>
        <w:ind w:firstLine="424" w:firstLineChars="176"/>
        <w:rPr>
          <w:rFonts w:hint="eastAsia"/>
          <w:b/>
          <w:sz w:val="24"/>
        </w:rPr>
      </w:pPr>
      <w:r>
        <w:rPr>
          <w:rFonts w:hint="eastAsia"/>
          <w:b/>
          <w:sz w:val="24"/>
        </w:rPr>
        <w:t>（一）考查目标</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1.掌握当代中国政治制度的框架结构和当代中国主要政治制度的基本内容。</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2.理解当代中国政治制度的基本原理和运行机制。</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3.运用当代中国政治制度的基本知识和理论分析当代中国的政治现象和问题。</w:t>
      </w:r>
    </w:p>
    <w:p>
      <w:pPr>
        <w:adjustRightInd w:val="0"/>
        <w:snapToGrid w:val="0"/>
        <w:spacing w:before="120" w:after="156" w:afterLines="50"/>
        <w:ind w:firstLine="424" w:firstLineChars="176"/>
        <w:rPr>
          <w:b/>
          <w:sz w:val="24"/>
        </w:rPr>
      </w:pPr>
      <w:r>
        <w:rPr>
          <w:rFonts w:hint="eastAsia"/>
          <w:b/>
          <w:sz w:val="24"/>
        </w:rPr>
        <w:t>（二）考试大纲</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(一) 当代中国政治制度概述</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1.政治制度的概念、内容、功能</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2.当代中国政治制度的含义、框架和结构</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3.当代中国政治制度的渊源、发展阶段和总体特征</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(二) 人民代表大会制度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1.人民代表大会的概念、性质、功能</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2.人民代表大会制度的特点和优越性</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3.人民代表大会的职权及其行使</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4.人大代表的权利和义务</w:t>
      </w:r>
    </w:p>
    <w:p>
      <w:pPr>
        <w:pStyle w:val="10"/>
        <w:spacing w:before="31" w:beforeLines="10" w:after="31" w:afterLines="10" w:line="360" w:lineRule="auto"/>
        <w:rPr>
          <w:rFonts w:hint="eastAsia" w:ascii="新宋体" w:hAnsi="新宋体" w:eastAsia="新宋体"/>
          <w:bCs/>
          <w:szCs w:val="21"/>
        </w:rPr>
      </w:pPr>
      <w:r>
        <w:rPr>
          <w:rFonts w:hint="eastAsia" w:ascii="新宋体" w:hAnsi="新宋体" w:eastAsia="新宋体"/>
          <w:bCs/>
          <w:szCs w:val="21"/>
        </w:rPr>
        <w:t xml:space="preserve"> (三) 选举制度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1.选举制度的内涵、地位、功能</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2.社会主义民主选举制度的基本原则</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3.社会主义民主选举制度的运作程序</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(四) 政党制度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1.当代中国政党制度的概况和特点</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2.中国共产党的组织制度、领导体制和组织体系</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3.多党合作制度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4.政治协商制度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(五) 国家行政制度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1.国家行政制度的内涵</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2.当代中国的行政组织体制和行政领导体制</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3.当代中国的行政监督体制</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4.当代中国的府际关系</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 xml:space="preserve"> (六) 司法制度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1.宪法的性质、功能及其与政治制度的关系</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2.当代中国的司法程序和原则</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 xml:space="preserve">3.我国社会主义司法制度的主要内容 </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4.依法治国的内涵</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(七) 民族区域自治制度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1.民族区域自治制度的基本内容和原则</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2.民族区域自治制度的基本特点和优越性</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 xml:space="preserve">3.如何坚持和完善民族区域自治制度 </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(八) 基层群众自治制度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1.基层群众自治制度的基本内容</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2.村民自治制度的构成与内容</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3.社区民主的实质</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4.如何坚持和完善我国的基层民主制度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(九) “一国两制”制度</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1.“一国两制”构想的基本内容和科学内涵</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2.香港特别行政区政治体制的主要内容</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3.如何理解“一国两制”是和平解决台湾问题的正确道路</w:t>
      </w:r>
    </w:p>
    <w:p>
      <w:pPr>
        <w:adjustRightInd w:val="0"/>
        <w:snapToGrid w:val="0"/>
        <w:spacing w:before="120" w:after="156" w:afterLines="50"/>
        <w:ind w:firstLine="241" w:firstLineChars="100"/>
        <w:rPr>
          <w:rFonts w:hint="eastAsia"/>
          <w:b/>
          <w:sz w:val="24"/>
        </w:rPr>
      </w:pPr>
      <w:r>
        <w:rPr>
          <w:rFonts w:hint="eastAsia"/>
          <w:b/>
          <w:sz w:val="24"/>
        </w:rPr>
        <w:t>（三）参考书目</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1.《当代中国政治制度》，浦兴祖 主编，复旦大学出版社，最新版。</w:t>
      </w:r>
    </w:p>
    <w:p>
      <w:pPr>
        <w:pStyle w:val="10"/>
        <w:spacing w:before="31" w:beforeLines="10" w:after="31" w:afterLines="10" w:line="360" w:lineRule="auto"/>
        <w:ind w:firstLine="422" w:firstLineChars="201"/>
        <w:rPr>
          <w:rFonts w:hint="eastAsia" w:ascii="新宋体" w:hAnsi="新宋体" w:eastAsia="新宋体"/>
          <w:bCs/>
          <w:szCs w:val="21"/>
        </w:rPr>
      </w:pPr>
      <w:r>
        <w:rPr>
          <w:rFonts w:hint="eastAsia" w:ascii="新宋体" w:hAnsi="新宋体" w:eastAsia="新宋体"/>
          <w:bCs/>
          <w:szCs w:val="21"/>
        </w:rPr>
        <w:t>2.《当代中国政治制度》，刘兴萍等 著，西南财经大学出版社，最新版。</w:t>
      </w:r>
    </w:p>
    <w:sectPr>
      <w:headerReference r:id="rId3" w:type="default"/>
      <w:footerReference r:id="rId4" w:type="default"/>
      <w:footerReference r:id="rId5" w:type="even"/>
      <w:pgSz w:w="11164" w:h="15485"/>
      <w:pgMar w:top="720" w:right="720" w:bottom="720" w:left="720"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1"/>
        <w:szCs w:val="21"/>
      </w:rPr>
    </w:pPr>
    <w:r>
      <w:rPr>
        <w:rFonts w:hint="eastAsia"/>
        <w:sz w:val="21"/>
        <w:szCs w:val="21"/>
      </w:rPr>
      <w:t>第</w:t>
    </w:r>
    <w:r>
      <w:rPr>
        <w:sz w:val="21"/>
        <w:szCs w:val="21"/>
      </w:rPr>
      <w:fldChar w:fldCharType="begin"/>
    </w:r>
    <w:r>
      <w:rPr>
        <w:rStyle w:val="9"/>
        <w:sz w:val="21"/>
        <w:szCs w:val="21"/>
      </w:rPr>
      <w:instrText xml:space="preserve"> PAGE </w:instrText>
    </w:r>
    <w:r>
      <w:rPr>
        <w:sz w:val="21"/>
        <w:szCs w:val="21"/>
      </w:rPr>
      <w:fldChar w:fldCharType="separate"/>
    </w:r>
    <w:r>
      <w:rPr>
        <w:rStyle w:val="9"/>
        <w:sz w:val="21"/>
        <w:szCs w:val="21"/>
        <w:lang/>
      </w:rPr>
      <w:t>3</w:t>
    </w:r>
    <w:r>
      <w:rPr>
        <w:sz w:val="21"/>
        <w:szCs w:val="21"/>
      </w:rPr>
      <w:fldChar w:fldCharType="end"/>
    </w:r>
    <w:r>
      <w:rPr>
        <w:rFonts w:hint="eastAsia"/>
        <w:sz w:val="21"/>
        <w:szCs w:val="21"/>
      </w:rPr>
      <w:t>页，共</w:t>
    </w:r>
    <w:r>
      <w:rPr>
        <w:sz w:val="21"/>
        <w:szCs w:val="21"/>
      </w:rPr>
      <w:fldChar w:fldCharType="begin"/>
    </w:r>
    <w:r>
      <w:rPr>
        <w:rStyle w:val="9"/>
        <w:sz w:val="21"/>
        <w:szCs w:val="21"/>
      </w:rPr>
      <w:instrText xml:space="preserve"> NUMPAGES </w:instrText>
    </w:r>
    <w:r>
      <w:rPr>
        <w:sz w:val="21"/>
        <w:szCs w:val="21"/>
      </w:rPr>
      <w:fldChar w:fldCharType="separate"/>
    </w:r>
    <w:r>
      <w:rPr>
        <w:rStyle w:val="9"/>
        <w:sz w:val="21"/>
        <w:szCs w:val="21"/>
        <w:lang/>
      </w:rPr>
      <w:t>3</w:t>
    </w:r>
    <w:r>
      <w:rPr>
        <w:sz w:val="21"/>
        <w:szCs w:val="21"/>
      </w:rPr>
      <w:fldChar w:fldCharType="end"/>
    </w:r>
    <w:r>
      <w:rPr>
        <w:rFonts w:hint="eastAsia"/>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yNTk5YjkyYmJhMGM2NzdjNTE1NTkyODRiZmYyZjEifQ=="/>
  </w:docVars>
  <w:rsids>
    <w:rsidRoot w:val="004B65A5"/>
    <w:rsid w:val="00010D6A"/>
    <w:rsid w:val="00045000"/>
    <w:rsid w:val="00054E01"/>
    <w:rsid w:val="000577EB"/>
    <w:rsid w:val="00061B4F"/>
    <w:rsid w:val="000762FE"/>
    <w:rsid w:val="00080730"/>
    <w:rsid w:val="0008607A"/>
    <w:rsid w:val="00097EDA"/>
    <w:rsid w:val="000C25FD"/>
    <w:rsid w:val="000E6981"/>
    <w:rsid w:val="001162EA"/>
    <w:rsid w:val="00120E9C"/>
    <w:rsid w:val="001459B6"/>
    <w:rsid w:val="001640BE"/>
    <w:rsid w:val="001848FB"/>
    <w:rsid w:val="0019067F"/>
    <w:rsid w:val="00197215"/>
    <w:rsid w:val="001B1D70"/>
    <w:rsid w:val="001C165A"/>
    <w:rsid w:val="001C2F19"/>
    <w:rsid w:val="001C4004"/>
    <w:rsid w:val="001D5F9A"/>
    <w:rsid w:val="001E149A"/>
    <w:rsid w:val="001E6B9A"/>
    <w:rsid w:val="0020731D"/>
    <w:rsid w:val="0023282D"/>
    <w:rsid w:val="0024344A"/>
    <w:rsid w:val="00252DC4"/>
    <w:rsid w:val="00286FA8"/>
    <w:rsid w:val="00293897"/>
    <w:rsid w:val="0029614F"/>
    <w:rsid w:val="002A5C7C"/>
    <w:rsid w:val="002D0453"/>
    <w:rsid w:val="002E0158"/>
    <w:rsid w:val="002F22CE"/>
    <w:rsid w:val="00311038"/>
    <w:rsid w:val="00317B5F"/>
    <w:rsid w:val="00320FBA"/>
    <w:rsid w:val="0033096F"/>
    <w:rsid w:val="00332C58"/>
    <w:rsid w:val="00350FDE"/>
    <w:rsid w:val="003704C9"/>
    <w:rsid w:val="00375432"/>
    <w:rsid w:val="003852C3"/>
    <w:rsid w:val="0038666B"/>
    <w:rsid w:val="003A4FD9"/>
    <w:rsid w:val="003B0F8F"/>
    <w:rsid w:val="003B48F8"/>
    <w:rsid w:val="003C498A"/>
    <w:rsid w:val="003E6790"/>
    <w:rsid w:val="003F61C3"/>
    <w:rsid w:val="00411480"/>
    <w:rsid w:val="0042467A"/>
    <w:rsid w:val="00443036"/>
    <w:rsid w:val="004523EF"/>
    <w:rsid w:val="00477338"/>
    <w:rsid w:val="004A72D7"/>
    <w:rsid w:val="004B65A5"/>
    <w:rsid w:val="004D42EC"/>
    <w:rsid w:val="004F0C6E"/>
    <w:rsid w:val="004F1816"/>
    <w:rsid w:val="00521CC0"/>
    <w:rsid w:val="00534ACF"/>
    <w:rsid w:val="00535C1D"/>
    <w:rsid w:val="005369C6"/>
    <w:rsid w:val="005743BB"/>
    <w:rsid w:val="00581E66"/>
    <w:rsid w:val="00597CBE"/>
    <w:rsid w:val="005A796B"/>
    <w:rsid w:val="005B21BB"/>
    <w:rsid w:val="005E2211"/>
    <w:rsid w:val="005F5C3E"/>
    <w:rsid w:val="00601207"/>
    <w:rsid w:val="0064486E"/>
    <w:rsid w:val="00696C06"/>
    <w:rsid w:val="006A0697"/>
    <w:rsid w:val="006B4AFA"/>
    <w:rsid w:val="006E0495"/>
    <w:rsid w:val="006F7BB8"/>
    <w:rsid w:val="00702571"/>
    <w:rsid w:val="0072114F"/>
    <w:rsid w:val="00741BA4"/>
    <w:rsid w:val="007641E9"/>
    <w:rsid w:val="00786EAA"/>
    <w:rsid w:val="007B06DB"/>
    <w:rsid w:val="007D6FDB"/>
    <w:rsid w:val="007E298C"/>
    <w:rsid w:val="007F4C05"/>
    <w:rsid w:val="00816837"/>
    <w:rsid w:val="00830FF2"/>
    <w:rsid w:val="00831B32"/>
    <w:rsid w:val="00864E9F"/>
    <w:rsid w:val="0087510B"/>
    <w:rsid w:val="00887886"/>
    <w:rsid w:val="008921C1"/>
    <w:rsid w:val="00893B85"/>
    <w:rsid w:val="008964B4"/>
    <w:rsid w:val="008A1AA2"/>
    <w:rsid w:val="009608ED"/>
    <w:rsid w:val="00971C90"/>
    <w:rsid w:val="00991A5E"/>
    <w:rsid w:val="009A6931"/>
    <w:rsid w:val="00A016B4"/>
    <w:rsid w:val="00A11D41"/>
    <w:rsid w:val="00A26EEB"/>
    <w:rsid w:val="00A605E9"/>
    <w:rsid w:val="00A63AC6"/>
    <w:rsid w:val="00A8099C"/>
    <w:rsid w:val="00A92DF4"/>
    <w:rsid w:val="00AB2D7C"/>
    <w:rsid w:val="00AD73EE"/>
    <w:rsid w:val="00AD769D"/>
    <w:rsid w:val="00B10A84"/>
    <w:rsid w:val="00B1351A"/>
    <w:rsid w:val="00B17FC4"/>
    <w:rsid w:val="00B53FB4"/>
    <w:rsid w:val="00B54A9F"/>
    <w:rsid w:val="00B717AA"/>
    <w:rsid w:val="00B74083"/>
    <w:rsid w:val="00B84AB9"/>
    <w:rsid w:val="00BB42AE"/>
    <w:rsid w:val="00BE2F94"/>
    <w:rsid w:val="00BF3197"/>
    <w:rsid w:val="00C176BC"/>
    <w:rsid w:val="00C404D4"/>
    <w:rsid w:val="00C46171"/>
    <w:rsid w:val="00C47215"/>
    <w:rsid w:val="00C5668E"/>
    <w:rsid w:val="00C6448A"/>
    <w:rsid w:val="00C65797"/>
    <w:rsid w:val="00C7337E"/>
    <w:rsid w:val="00C74408"/>
    <w:rsid w:val="00C76400"/>
    <w:rsid w:val="00C77B02"/>
    <w:rsid w:val="00CB135C"/>
    <w:rsid w:val="00CC7091"/>
    <w:rsid w:val="00CE1668"/>
    <w:rsid w:val="00D029C7"/>
    <w:rsid w:val="00D268D1"/>
    <w:rsid w:val="00D36237"/>
    <w:rsid w:val="00D45D43"/>
    <w:rsid w:val="00D60C8A"/>
    <w:rsid w:val="00D76B44"/>
    <w:rsid w:val="00D82DC4"/>
    <w:rsid w:val="00D94FF9"/>
    <w:rsid w:val="00D96AEB"/>
    <w:rsid w:val="00DB3660"/>
    <w:rsid w:val="00DD7E22"/>
    <w:rsid w:val="00DE2F8D"/>
    <w:rsid w:val="00DE3D4A"/>
    <w:rsid w:val="00E1145D"/>
    <w:rsid w:val="00E31480"/>
    <w:rsid w:val="00E6651A"/>
    <w:rsid w:val="00E8034E"/>
    <w:rsid w:val="00E87969"/>
    <w:rsid w:val="00EB586D"/>
    <w:rsid w:val="00EC372E"/>
    <w:rsid w:val="00EC6FF8"/>
    <w:rsid w:val="00EE3A0D"/>
    <w:rsid w:val="00EF1CE7"/>
    <w:rsid w:val="00F26E36"/>
    <w:rsid w:val="00F37904"/>
    <w:rsid w:val="00F5254F"/>
    <w:rsid w:val="00F65196"/>
    <w:rsid w:val="00F70D0A"/>
    <w:rsid w:val="00F9484E"/>
    <w:rsid w:val="00FE5C11"/>
    <w:rsid w:val="00FE73E9"/>
    <w:rsid w:val="01637958"/>
    <w:rsid w:val="06C72058"/>
    <w:rsid w:val="081D6CD9"/>
    <w:rsid w:val="08555502"/>
    <w:rsid w:val="091E0095"/>
    <w:rsid w:val="097712AB"/>
    <w:rsid w:val="0BC50C05"/>
    <w:rsid w:val="0E3513AA"/>
    <w:rsid w:val="11AD74F1"/>
    <w:rsid w:val="136F5E0A"/>
    <w:rsid w:val="13D83CC9"/>
    <w:rsid w:val="154307D3"/>
    <w:rsid w:val="15FA3A9F"/>
    <w:rsid w:val="1A51355B"/>
    <w:rsid w:val="1C5E22D2"/>
    <w:rsid w:val="2209174A"/>
    <w:rsid w:val="27DF24C3"/>
    <w:rsid w:val="2A573886"/>
    <w:rsid w:val="2BA31F0C"/>
    <w:rsid w:val="2E5C00AA"/>
    <w:rsid w:val="2E745E7D"/>
    <w:rsid w:val="31590CE8"/>
    <w:rsid w:val="35E167DD"/>
    <w:rsid w:val="39054CF9"/>
    <w:rsid w:val="3C954236"/>
    <w:rsid w:val="3EF72E21"/>
    <w:rsid w:val="3F370091"/>
    <w:rsid w:val="40C9363E"/>
    <w:rsid w:val="43CB2643"/>
    <w:rsid w:val="43E96A5E"/>
    <w:rsid w:val="491E1569"/>
    <w:rsid w:val="4A3E4591"/>
    <w:rsid w:val="4CA9771E"/>
    <w:rsid w:val="4D97427E"/>
    <w:rsid w:val="4E0A3C16"/>
    <w:rsid w:val="51C67D9B"/>
    <w:rsid w:val="51E14564"/>
    <w:rsid w:val="52BB2CAF"/>
    <w:rsid w:val="5C7878D3"/>
    <w:rsid w:val="622B7DA2"/>
    <w:rsid w:val="639326D1"/>
    <w:rsid w:val="63D248BA"/>
    <w:rsid w:val="652D6409"/>
    <w:rsid w:val="654D1AB2"/>
    <w:rsid w:val="66A07528"/>
    <w:rsid w:val="6DD56026"/>
    <w:rsid w:val="71BF462E"/>
    <w:rsid w:val="71CD35B0"/>
    <w:rsid w:val="74F709F9"/>
    <w:rsid w:val="76DD35D3"/>
    <w:rsid w:val="7949045E"/>
    <w:rsid w:val="7E103436"/>
    <w:rsid w:val="E18F45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rPr>
      <w:lang w:val="en-US" w:eastAsia="zh-CN" w:bidi="ar-SA"/>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uiPriority w:val="0"/>
  </w:style>
  <w:style w:type="paragraph" w:customStyle="1" w:styleId="10">
    <w:name w:val="_Style 1"/>
    <w:basedOn w:val="1"/>
    <w:qFormat/>
    <w:uiPriority w:val="0"/>
    <w:pPr>
      <w:ind w:firstLine="420" w:firstLineChars="200"/>
    </w:pPr>
  </w:style>
  <w:style w:type="paragraph"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jh</Company>
  <Pages>3</Pages>
  <Words>902</Words>
  <Characters>952</Characters>
  <Lines>7</Lines>
  <Paragraphs>2</Paragraphs>
  <TotalTime>0</TotalTime>
  <ScaleCrop>false</ScaleCrop>
  <LinksUpToDate>false</LinksUpToDate>
  <CharactersWithSpaces>971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2018-07-06T18:51:00Z</dcterms:created>
  <dc:creator>jh</dc:creator>
  <cp:lastModifiedBy>vertesyuan</cp:lastModifiedBy>
  <cp:lastPrinted>2019-06-27T22:20:00Z</cp:lastPrinted>
  <dcterms:modified xsi:type="dcterms:W3CDTF">2023-12-05T05:05:37Z</dcterms:modified>
  <dc:title>浙江师范大学2009年硕士研究生入学考试复试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BBD1D0B7C3574F0494BD05C1A6782B06_13</vt:lpwstr>
  </property>
</Properties>
</file>