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加试</w:t>
      </w:r>
      <w:r>
        <w:rPr>
          <w:rFonts w:hint="eastAsia" w:ascii="黑体" w:eastAsia="黑体"/>
          <w:b/>
          <w:sz w:val="32"/>
          <w:szCs w:val="32"/>
        </w:rPr>
        <w:t>科目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after="62" w:afterLines="20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民法学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一、考试形式与试卷结构</w:t>
      </w:r>
    </w:p>
    <w:p>
      <w:pPr>
        <w:pStyle w:val="8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8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</w:t>
      </w:r>
      <w:r>
        <w:rPr>
          <w:rFonts w:hint="eastAsia" w:ascii="新宋体" w:hAnsi="新宋体" w:eastAsia="新宋体"/>
          <w:szCs w:val="21"/>
          <w:lang w:val="en-US" w:eastAsia="zh-CN"/>
        </w:rPr>
        <w:t>0</w:t>
      </w:r>
      <w:r>
        <w:rPr>
          <w:rFonts w:hint="eastAsia" w:ascii="新宋体" w:hAnsi="新宋体" w:eastAsia="新宋体"/>
          <w:szCs w:val="21"/>
        </w:rPr>
        <w:t>0分，考试时间为1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0分钟。</w:t>
      </w:r>
    </w:p>
    <w:p>
      <w:pPr>
        <w:pStyle w:val="8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8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答题方式为闭卷、笔试。试卷由试题和答题纸组成；答案必须写在答题纸（由考点提供）相应的位置上。</w:t>
      </w:r>
    </w:p>
    <w:p>
      <w:pPr>
        <w:pStyle w:val="8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.简答题；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.论述题；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szCs w:val="21"/>
          <w:lang w:val="en-US" w:eastAsia="zh-CN"/>
        </w:rPr>
        <w:t>材料</w:t>
      </w:r>
      <w:r>
        <w:rPr>
          <w:rFonts w:hint="eastAsia" w:ascii="宋体" w:hAnsi="宋体"/>
          <w:szCs w:val="21"/>
        </w:rPr>
        <w:t>分析题。</w:t>
      </w:r>
    </w:p>
    <w:p>
      <w:pPr>
        <w:spacing w:before="156" w:beforeLines="50" w:line="288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二、考查目标和考试范围（或考试内容概要）</w:t>
      </w:r>
    </w:p>
    <w:p>
      <w:pPr>
        <w:autoSpaceDE w:val="0"/>
        <w:autoSpaceDN w:val="0"/>
        <w:adjustRightInd w:val="0"/>
        <w:spacing w:line="500" w:lineRule="exact"/>
        <w:ind w:firstLine="422" w:firstLineChars="2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1．考试目的和要求</w:t>
      </w:r>
    </w:p>
    <w:p>
      <w:pPr>
        <w:adjustRightInd w:val="0"/>
        <w:snapToGrid w:val="0"/>
        <w:spacing w:line="50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民事法学是法学专业的基础性课程，通过民事法学考试，了解考生对民事法学基本理论、基础知识、基本原理、基本法律的学习程度和深度，掌握考生运用民事法基本理论和知识分析民事法律问题的能力。</w:t>
      </w:r>
    </w:p>
    <w:p>
      <w:pPr>
        <w:autoSpaceDE w:val="0"/>
        <w:autoSpaceDN w:val="0"/>
        <w:adjustRightInd w:val="0"/>
        <w:spacing w:line="500" w:lineRule="exact"/>
        <w:ind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2．考试基本内容</w:t>
      </w:r>
    </w:p>
    <w:p>
      <w:pPr>
        <w:adjustRightInd w:val="0"/>
        <w:snapToGrid w:val="0"/>
        <w:spacing w:line="50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考试内容主要包括民法，含民法基本理论、物权法、合同法、人格权法、侵权责任法、婚姻家庭法、继承法、知识产权法、民事立法的最新动态和研究热点、焦点问题。</w:t>
      </w:r>
    </w:p>
    <w:p>
      <w:pPr>
        <w:autoSpaceDE w:val="0"/>
        <w:autoSpaceDN w:val="0"/>
        <w:adjustRightInd w:val="0"/>
        <w:spacing w:line="500" w:lineRule="exact"/>
        <w:ind w:firstLine="422" w:firstLineChars="2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3．考试知识点</w:t>
      </w:r>
    </w:p>
    <w:p>
      <w:pPr>
        <w:adjustRightInd w:val="0"/>
        <w:snapToGrid w:val="0"/>
        <w:spacing w:line="500" w:lineRule="exact"/>
        <w:ind w:firstLine="527" w:firstLineChars="250"/>
        <w:rPr>
          <w:rFonts w:hint="eastAsia"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民法总论部分知识要点：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hint="eastAsia"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（1）民事法律关系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hint="eastAsia"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（2）民法的基本原则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（3）</w:t>
      </w:r>
      <w:r>
        <w:rPr>
          <w:rFonts w:cs="Arial"/>
          <w:color w:val="333333"/>
          <w:sz w:val="21"/>
          <w:szCs w:val="21"/>
        </w:rPr>
        <w:t>自然人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（4）</w:t>
      </w:r>
      <w:r>
        <w:rPr>
          <w:rFonts w:cs="Arial"/>
          <w:color w:val="333333"/>
          <w:sz w:val="21"/>
          <w:szCs w:val="21"/>
        </w:rPr>
        <w:t>法人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（5）</w:t>
      </w:r>
      <w:r>
        <w:rPr>
          <w:rFonts w:cs="Arial"/>
          <w:color w:val="333333"/>
          <w:sz w:val="21"/>
          <w:szCs w:val="21"/>
        </w:rPr>
        <w:t>非法人组织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（6）</w:t>
      </w:r>
      <w:r>
        <w:rPr>
          <w:rFonts w:cs="Arial"/>
          <w:color w:val="333333"/>
          <w:sz w:val="21"/>
          <w:szCs w:val="21"/>
        </w:rPr>
        <w:t>民事权利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（7）</w:t>
      </w:r>
      <w:r>
        <w:rPr>
          <w:rFonts w:cs="Arial"/>
          <w:color w:val="333333"/>
          <w:sz w:val="21"/>
          <w:szCs w:val="21"/>
        </w:rPr>
        <w:t>民事法律行为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（8）</w:t>
      </w:r>
      <w:r>
        <w:rPr>
          <w:rFonts w:cs="Arial"/>
          <w:color w:val="333333"/>
          <w:sz w:val="21"/>
          <w:szCs w:val="21"/>
        </w:rPr>
        <w:t>代理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（9）</w:t>
      </w:r>
      <w:r>
        <w:rPr>
          <w:rFonts w:cs="Arial"/>
          <w:color w:val="333333"/>
          <w:sz w:val="21"/>
          <w:szCs w:val="21"/>
        </w:rPr>
        <w:t>民事责任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（10）</w:t>
      </w:r>
      <w:r>
        <w:rPr>
          <w:rFonts w:cs="Arial"/>
          <w:color w:val="333333"/>
          <w:sz w:val="21"/>
          <w:szCs w:val="21"/>
        </w:rPr>
        <w:t>诉讼时效</w:t>
      </w:r>
      <w:r>
        <w:rPr>
          <w:rFonts w:hint="eastAsia" w:cs="Arial"/>
          <w:color w:val="333333"/>
          <w:sz w:val="21"/>
          <w:szCs w:val="21"/>
        </w:rPr>
        <w:t>与</w:t>
      </w:r>
      <w:r>
        <w:rPr>
          <w:rFonts w:cs="Arial"/>
          <w:color w:val="333333"/>
          <w:sz w:val="21"/>
          <w:szCs w:val="21"/>
        </w:rPr>
        <w:t>期间</w:t>
      </w:r>
    </w:p>
    <w:p>
      <w:pPr>
        <w:adjustRightInd w:val="0"/>
        <w:snapToGrid w:val="0"/>
        <w:spacing w:line="500" w:lineRule="exact"/>
        <w:ind w:firstLine="527" w:firstLineChars="250"/>
        <w:rPr>
          <w:rFonts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物权法部分知识要点：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（11）物权法的基础理论和基本原则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（12）</w:t>
      </w:r>
      <w:r>
        <w:rPr>
          <w:rFonts w:cs="Arial"/>
          <w:color w:val="333333"/>
          <w:sz w:val="21"/>
          <w:szCs w:val="21"/>
        </w:rPr>
        <w:t>物权的</w:t>
      </w:r>
      <w:r>
        <w:rPr>
          <w:rFonts w:hint="eastAsia" w:cs="Arial"/>
          <w:color w:val="333333"/>
          <w:sz w:val="21"/>
          <w:szCs w:val="21"/>
        </w:rPr>
        <w:t>类型、</w:t>
      </w:r>
      <w:r>
        <w:rPr>
          <w:rFonts w:cs="Arial"/>
          <w:color w:val="333333"/>
          <w:sz w:val="21"/>
          <w:szCs w:val="21"/>
        </w:rPr>
        <w:t>设立、变更、转让和消灭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（13）</w:t>
      </w:r>
      <w:r>
        <w:rPr>
          <w:rFonts w:cs="Arial"/>
          <w:color w:val="333333"/>
          <w:sz w:val="21"/>
          <w:szCs w:val="21"/>
        </w:rPr>
        <w:t>物权的保护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25" w:firstLineChars="25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（14）</w:t>
      </w:r>
      <w:r>
        <w:rPr>
          <w:rFonts w:cs="Arial"/>
          <w:color w:val="333333"/>
          <w:sz w:val="21"/>
          <w:szCs w:val="21"/>
        </w:rPr>
        <w:t>所有权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25" w:firstLineChars="25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（15）用</w:t>
      </w:r>
      <w:r>
        <w:rPr>
          <w:rFonts w:cs="Arial"/>
          <w:color w:val="333333"/>
          <w:sz w:val="21"/>
          <w:szCs w:val="21"/>
        </w:rPr>
        <w:t>益物权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25" w:firstLineChars="25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（16）</w:t>
      </w:r>
      <w:r>
        <w:rPr>
          <w:rFonts w:cs="Arial"/>
          <w:color w:val="333333"/>
          <w:sz w:val="21"/>
          <w:szCs w:val="21"/>
        </w:rPr>
        <w:t>担保物权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25" w:firstLineChars="25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（17）</w:t>
      </w:r>
      <w:r>
        <w:rPr>
          <w:rFonts w:cs="Arial"/>
          <w:color w:val="333333"/>
          <w:sz w:val="21"/>
          <w:szCs w:val="21"/>
        </w:rPr>
        <w:t>占有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b/>
          <w:color w:val="333333"/>
          <w:sz w:val="21"/>
          <w:szCs w:val="21"/>
        </w:rPr>
      </w:pPr>
      <w:r>
        <w:rPr>
          <w:rFonts w:hint="eastAsia" w:cs="Arial"/>
          <w:b/>
          <w:color w:val="333333"/>
          <w:sz w:val="21"/>
          <w:szCs w:val="21"/>
        </w:rPr>
        <w:t>债法部分知识要点：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525" w:firstLineChars="25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（18）债法基础理论和基本原则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（19）</w:t>
      </w:r>
      <w:r>
        <w:rPr>
          <w:rFonts w:cs="Arial"/>
          <w:color w:val="333333"/>
          <w:sz w:val="21"/>
          <w:szCs w:val="21"/>
        </w:rPr>
        <w:t>合同的订立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（20）</w:t>
      </w:r>
      <w:r>
        <w:rPr>
          <w:rFonts w:cs="Arial"/>
          <w:color w:val="333333"/>
          <w:sz w:val="21"/>
          <w:szCs w:val="21"/>
        </w:rPr>
        <w:t>合同的效力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（21）</w:t>
      </w:r>
      <w:r>
        <w:rPr>
          <w:rFonts w:cs="Arial"/>
          <w:color w:val="333333"/>
          <w:sz w:val="21"/>
          <w:szCs w:val="21"/>
        </w:rPr>
        <w:t>合同的履行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（22）</w:t>
      </w:r>
      <w:r>
        <w:rPr>
          <w:rFonts w:cs="Arial"/>
          <w:color w:val="333333"/>
          <w:sz w:val="21"/>
          <w:szCs w:val="21"/>
        </w:rPr>
        <w:t>合同的保全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（23）</w:t>
      </w:r>
      <w:r>
        <w:rPr>
          <w:rFonts w:cs="Arial"/>
          <w:color w:val="333333"/>
          <w:sz w:val="21"/>
          <w:szCs w:val="21"/>
        </w:rPr>
        <w:t>合同的变更和转让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（24）</w:t>
      </w:r>
      <w:r>
        <w:rPr>
          <w:rFonts w:cs="Arial"/>
          <w:color w:val="333333"/>
          <w:sz w:val="21"/>
          <w:szCs w:val="21"/>
        </w:rPr>
        <w:t>合同的权利义务终止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（25）</w:t>
      </w:r>
      <w:r>
        <w:rPr>
          <w:rFonts w:cs="Arial"/>
          <w:color w:val="333333"/>
          <w:sz w:val="21"/>
          <w:szCs w:val="21"/>
        </w:rPr>
        <w:t>违约责任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hint="eastAsia"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（26）</w:t>
      </w:r>
      <w:r>
        <w:rPr>
          <w:rFonts w:cs="Arial"/>
          <w:color w:val="333333"/>
          <w:sz w:val="21"/>
          <w:szCs w:val="21"/>
        </w:rPr>
        <w:t>典型合同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（27）非典型合同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（28）</w:t>
      </w:r>
      <w:r>
        <w:rPr>
          <w:rFonts w:cs="Arial"/>
          <w:color w:val="333333"/>
          <w:sz w:val="21"/>
          <w:szCs w:val="21"/>
        </w:rPr>
        <w:t>准合同</w:t>
      </w:r>
    </w:p>
    <w:p>
      <w:pPr>
        <w:adjustRightInd w:val="0"/>
        <w:snapToGrid w:val="0"/>
        <w:spacing w:line="500" w:lineRule="exact"/>
        <w:ind w:firstLine="527" w:firstLineChars="250"/>
        <w:rPr>
          <w:rFonts w:hint="eastAsia"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人格权法部分知识要点：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（29）人格权法的基础理论和基本原则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（30）</w:t>
      </w:r>
      <w:r>
        <w:rPr>
          <w:rFonts w:cs="Arial"/>
          <w:color w:val="333333"/>
          <w:sz w:val="21"/>
          <w:szCs w:val="21"/>
        </w:rPr>
        <w:t>生命权、身体权和健康权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（31）</w:t>
      </w:r>
      <w:r>
        <w:rPr>
          <w:rFonts w:cs="Arial"/>
          <w:color w:val="333333"/>
          <w:sz w:val="21"/>
          <w:szCs w:val="21"/>
        </w:rPr>
        <w:t>姓名权和名称权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（32）</w:t>
      </w:r>
      <w:r>
        <w:rPr>
          <w:rFonts w:cs="Arial"/>
          <w:color w:val="333333"/>
          <w:sz w:val="21"/>
          <w:szCs w:val="21"/>
        </w:rPr>
        <w:t>肖像权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（33）</w:t>
      </w:r>
      <w:r>
        <w:rPr>
          <w:rFonts w:cs="Arial"/>
          <w:color w:val="333333"/>
          <w:sz w:val="21"/>
          <w:szCs w:val="21"/>
        </w:rPr>
        <w:t>名誉权和荣誉权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（34）</w:t>
      </w:r>
      <w:r>
        <w:rPr>
          <w:rFonts w:cs="Arial"/>
          <w:color w:val="333333"/>
          <w:sz w:val="21"/>
          <w:szCs w:val="21"/>
        </w:rPr>
        <w:t>隐私权和个人信息保护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b/>
          <w:color w:val="333333"/>
          <w:sz w:val="21"/>
          <w:szCs w:val="21"/>
        </w:rPr>
      </w:pPr>
      <w:r>
        <w:rPr>
          <w:rFonts w:cs="Arial"/>
          <w:b/>
          <w:color w:val="333333"/>
          <w:sz w:val="21"/>
          <w:szCs w:val="21"/>
        </w:rPr>
        <w:t>婚姻家庭</w:t>
      </w:r>
      <w:r>
        <w:rPr>
          <w:rFonts w:hint="eastAsia" w:cs="Arial"/>
          <w:b/>
          <w:color w:val="333333"/>
          <w:sz w:val="21"/>
          <w:szCs w:val="21"/>
        </w:rPr>
        <w:t>法部分的知识要点：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（35）婚姻家庭法的基础理论和基本原则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（36）</w:t>
      </w:r>
      <w:r>
        <w:rPr>
          <w:rFonts w:cs="Arial"/>
          <w:color w:val="333333"/>
          <w:sz w:val="21"/>
          <w:szCs w:val="21"/>
        </w:rPr>
        <w:t>结婚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（37）</w:t>
      </w:r>
      <w:r>
        <w:rPr>
          <w:rFonts w:cs="Arial"/>
          <w:color w:val="333333"/>
          <w:sz w:val="21"/>
          <w:szCs w:val="21"/>
        </w:rPr>
        <w:t>家庭关系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（38）</w:t>
      </w:r>
      <w:r>
        <w:rPr>
          <w:rFonts w:cs="Arial"/>
          <w:color w:val="333333"/>
          <w:sz w:val="21"/>
          <w:szCs w:val="21"/>
        </w:rPr>
        <w:t>离婚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（39）</w:t>
      </w:r>
      <w:r>
        <w:rPr>
          <w:rFonts w:cs="Arial"/>
          <w:color w:val="333333"/>
          <w:sz w:val="21"/>
          <w:szCs w:val="21"/>
        </w:rPr>
        <w:t>收养</w:t>
      </w:r>
    </w:p>
    <w:p>
      <w:pPr>
        <w:adjustRightInd w:val="0"/>
        <w:snapToGrid w:val="0"/>
        <w:spacing w:line="500" w:lineRule="exact"/>
        <w:ind w:firstLine="527" w:firstLineChars="250"/>
        <w:rPr>
          <w:rFonts w:hint="eastAsia"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继承法部分知识要点：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hint="eastAsia"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（40）继承法的基础理论和基本原则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（41）</w:t>
      </w:r>
      <w:r>
        <w:rPr>
          <w:rFonts w:cs="Arial"/>
          <w:color w:val="333333"/>
          <w:sz w:val="21"/>
          <w:szCs w:val="21"/>
        </w:rPr>
        <w:t>法定继承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（42）</w:t>
      </w:r>
      <w:r>
        <w:rPr>
          <w:rFonts w:cs="Arial"/>
          <w:color w:val="333333"/>
          <w:sz w:val="21"/>
          <w:szCs w:val="21"/>
        </w:rPr>
        <w:t>遗嘱继承和遗赠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（43）</w:t>
      </w:r>
      <w:r>
        <w:rPr>
          <w:rFonts w:cs="Arial"/>
          <w:color w:val="333333"/>
          <w:sz w:val="21"/>
          <w:szCs w:val="21"/>
        </w:rPr>
        <w:t>遗产的处理</w:t>
      </w:r>
    </w:p>
    <w:p>
      <w:pPr>
        <w:adjustRightInd w:val="0"/>
        <w:snapToGrid w:val="0"/>
        <w:spacing w:line="500" w:lineRule="exact"/>
        <w:ind w:firstLine="527" w:firstLineChars="250"/>
        <w:rPr>
          <w:rFonts w:cs="Arial"/>
          <w:color w:val="333333"/>
          <w:sz w:val="21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侵权责任法部分知识要点：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（44）侵权责任的基础理论和基本原则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（45）</w:t>
      </w:r>
      <w:r>
        <w:rPr>
          <w:rFonts w:cs="Arial"/>
          <w:color w:val="333333"/>
          <w:sz w:val="21"/>
          <w:szCs w:val="21"/>
        </w:rPr>
        <w:t>损害赔偿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（46）</w:t>
      </w:r>
      <w:r>
        <w:rPr>
          <w:rFonts w:cs="Arial"/>
          <w:color w:val="333333"/>
          <w:sz w:val="21"/>
          <w:szCs w:val="21"/>
        </w:rPr>
        <w:t xml:space="preserve"> 责任主体的特殊规定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（47）特殊侵权责任</w:t>
      </w:r>
    </w:p>
    <w:p>
      <w:pPr>
        <w:adjustRightInd w:val="0"/>
        <w:snapToGrid w:val="0"/>
        <w:spacing w:line="500" w:lineRule="exact"/>
        <w:ind w:firstLine="422" w:firstLineChars="200"/>
        <w:rPr>
          <w:rFonts w:hint="eastAsia" w:ascii="宋体" w:hAnsi="宋体" w:cs="Arial"/>
          <w:b/>
          <w:color w:val="000000"/>
          <w:szCs w:val="21"/>
        </w:rPr>
      </w:pPr>
      <w:r>
        <w:rPr>
          <w:rFonts w:hint="eastAsia" w:ascii="宋体" w:hAnsi="宋体" w:cs="Arial"/>
          <w:b/>
          <w:color w:val="000000"/>
          <w:szCs w:val="21"/>
        </w:rPr>
        <w:t>知识产权法知识要点：</w:t>
      </w:r>
    </w:p>
    <w:p>
      <w:pPr>
        <w:adjustRightInd w:val="0"/>
        <w:snapToGrid w:val="0"/>
        <w:spacing w:line="50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（48）知识产权的基础理论</w:t>
      </w:r>
    </w:p>
    <w:p>
      <w:pPr>
        <w:adjustRightInd w:val="0"/>
        <w:snapToGrid w:val="0"/>
        <w:spacing w:line="50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（49）与知识产权有关的国际公约</w:t>
      </w:r>
    </w:p>
    <w:p>
      <w:pPr>
        <w:adjustRightInd w:val="0"/>
        <w:snapToGrid w:val="0"/>
        <w:spacing w:line="50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（50）著作权</w:t>
      </w:r>
    </w:p>
    <w:p>
      <w:pPr>
        <w:adjustRightInd w:val="0"/>
        <w:snapToGrid w:val="0"/>
        <w:spacing w:line="50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（51）专利权</w:t>
      </w:r>
    </w:p>
    <w:p>
      <w:pPr>
        <w:autoSpaceDE w:val="0"/>
        <w:autoSpaceDN w:val="0"/>
        <w:adjustRightInd w:val="0"/>
        <w:spacing w:line="500" w:lineRule="exact"/>
        <w:ind w:firstLine="420" w:firstLineChars="200"/>
        <w:jc w:val="left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（52）商标权</w:t>
      </w:r>
    </w:p>
    <w:p>
      <w:pPr>
        <w:autoSpaceDE w:val="0"/>
        <w:autoSpaceDN w:val="0"/>
        <w:adjustRightInd w:val="0"/>
        <w:spacing w:line="500" w:lineRule="exact"/>
        <w:ind w:firstLine="420" w:firstLineChars="200"/>
        <w:jc w:val="left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（53）商业秘密</w:t>
      </w:r>
    </w:p>
    <w:p>
      <w:pPr>
        <w:adjustRightInd w:val="0"/>
        <w:snapToGrid w:val="0"/>
        <w:spacing w:line="50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（54）与知识产权有关的反不正当竞争</w:t>
      </w:r>
    </w:p>
    <w:p>
      <w:pPr>
        <w:adjustRightInd w:val="0"/>
        <w:snapToGrid w:val="0"/>
        <w:spacing w:line="500" w:lineRule="exact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（55）其他知识产权</w:t>
      </w:r>
    </w:p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三、各部分参考教材或主要参考书</w:t>
      </w:r>
    </w:p>
    <w:p>
      <w:pPr>
        <w:spacing w:line="5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val="en-US" w:eastAsia="zh-CN"/>
        </w:rPr>
        <w:t>1</w:t>
      </w:r>
      <w:r>
        <w:rPr>
          <w:rFonts w:hint="eastAsia" w:ascii="宋体" w:hAnsi="宋体" w:cs="宋体"/>
          <w:color w:val="000000"/>
          <w:szCs w:val="21"/>
        </w:rPr>
        <w:t>.《民法学》（第二版）（上、下册）（马克思主义理论研究和建设工程重点教材），高等教育出版社2022年版；</w:t>
      </w:r>
    </w:p>
    <w:p>
      <w:pPr>
        <w:spacing w:line="500" w:lineRule="exact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2</w:t>
      </w:r>
      <w:r>
        <w:rPr>
          <w:rFonts w:hint="eastAsia" w:ascii="宋体" w:hAnsi="宋体"/>
          <w:color w:val="000000"/>
          <w:szCs w:val="21"/>
        </w:rPr>
        <w:t>. 《知识产权法学》（马克思主义理论研究和建设工程重点教材），高等教育出版社2022年版。</w:t>
      </w:r>
    </w:p>
    <w:p>
      <w:pPr>
        <w:spacing w:before="156" w:beforeLines="50" w:line="288" w:lineRule="auto"/>
        <w:rPr>
          <w:rFonts w:hint="eastAsia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mQxZjc0NmUzMjU2YTAyM2ExM2NjYmVmMmQyYTEifQ=="/>
  </w:docVars>
  <w:rsids>
    <w:rsidRoot w:val="00000000"/>
    <w:rsid w:val="07EA2A4A"/>
    <w:rsid w:val="15C24751"/>
    <w:rsid w:val="242D01ED"/>
    <w:rsid w:val="2B434F54"/>
    <w:rsid w:val="7F4404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1066</Words>
  <Characters>1130</Characters>
  <Lines>0</Lines>
  <Paragraphs>0</Paragraphs>
  <TotalTime>0</TotalTime>
  <ScaleCrop>false</ScaleCrop>
  <LinksUpToDate>false</LinksUpToDate>
  <CharactersWithSpaces>1136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2023-06-28T02:32:01Z</dcterms:created>
  <dc:creator>think</dc:creator>
  <cp:lastModifiedBy>vertesyuan</cp:lastModifiedBy>
  <dcterms:modified xsi:type="dcterms:W3CDTF">2023-12-05T05:08:08Z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B2059487E4454D71A5ED734F84541425_13</vt:lpwstr>
  </property>
</Properties>
</file>