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年宁波大学硕士研究生招生考试复试加试科目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国际航运管理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1"/>
        <w:spacing w:before="31" w:beforeLines="10" w:after="31" w:afterLines="10" w:line="288" w:lineRule="auto"/>
        <w:ind w:firstLine="422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11"/>
        <w:spacing w:before="31" w:beforeLines="10" w:after="31" w:afterLines="10" w:line="288" w:lineRule="auto"/>
        <w:ind w:firstLine="422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288" w:lineRule="auto"/>
        <w:ind w:firstLine="422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2.选择题；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3.问答与计算题；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4.论述题。</w:t>
      </w:r>
    </w:p>
    <w:p>
      <w:pPr>
        <w:spacing w:before="156" w:beforeLines="50" w:line="288" w:lineRule="auto"/>
        <w:outlineLvl w:val="0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《国际航运管理》的目的在于测试考生对国际航运管理的相关概念、基础知识、基本理论的掌握程度以及综合运用分析航运市场、航运活动的能力。</w:t>
      </w:r>
    </w:p>
    <w:p>
      <w:pPr>
        <w:spacing w:before="156" w:beforeLines="50" w:line="288" w:lineRule="auto"/>
        <w:outlineLvl w:val="0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rFonts w:hint="eastAsia"/>
          <w:b/>
          <w:szCs w:val="21"/>
        </w:rPr>
        <w:t>第一章 国际航运市场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rFonts w:ascii="Tahoma" w:hAnsi="Tahoma" w:cs="Tahoma"/>
          <w:color w:val="333333"/>
          <w:sz w:val="18"/>
          <w:szCs w:val="18"/>
        </w:rPr>
        <w:t>　</w:t>
      </w:r>
      <w:r>
        <w:rPr>
          <w:szCs w:val="21"/>
        </w:rPr>
        <w:t>第一节</w:t>
      </w:r>
      <w:r>
        <w:rPr>
          <w:rFonts w:hint="eastAsia"/>
          <w:szCs w:val="21"/>
        </w:rPr>
        <w:t xml:space="preserve"> 航运市场概述</w:t>
      </w:r>
      <w:r>
        <w:rPr>
          <w:szCs w:val="21"/>
        </w:rPr>
        <w:br w:type="textWrapping"/>
      </w:r>
      <w:r>
        <w:rPr>
          <w:szCs w:val="21"/>
        </w:rPr>
        <w:t>　第二节</w:t>
      </w:r>
      <w:r>
        <w:rPr>
          <w:rFonts w:hint="eastAsia"/>
          <w:szCs w:val="21"/>
        </w:rPr>
        <w:t xml:space="preserve"> 航运市场供求分析</w:t>
      </w:r>
      <w:r>
        <w:rPr>
          <w:szCs w:val="21"/>
        </w:rPr>
        <w:br w:type="textWrapping"/>
      </w:r>
      <w:r>
        <w:rPr>
          <w:szCs w:val="21"/>
        </w:rPr>
        <w:t>　第三节</w:t>
      </w:r>
      <w:r>
        <w:rPr>
          <w:rFonts w:hint="eastAsia"/>
          <w:szCs w:val="21"/>
        </w:rPr>
        <w:t xml:space="preserve"> 航运价格及制定</w:t>
      </w:r>
      <w:r>
        <w:rPr>
          <w:szCs w:val="21"/>
        </w:rPr>
        <w:br w:type="textWrapping"/>
      </w:r>
      <w:r>
        <w:rPr>
          <w:szCs w:val="21"/>
        </w:rPr>
        <w:t>　第四节</w:t>
      </w:r>
      <w:r>
        <w:rPr>
          <w:rFonts w:hint="eastAsia"/>
          <w:szCs w:val="21"/>
        </w:rPr>
        <w:t xml:space="preserve"> 运价指数</w:t>
      </w:r>
      <w:r>
        <w:rPr>
          <w:szCs w:val="21"/>
        </w:rPr>
        <w:br w:type="textWrapping"/>
      </w:r>
      <w:r>
        <w:rPr>
          <w:b/>
          <w:szCs w:val="21"/>
        </w:rPr>
        <w:t>第二章</w:t>
      </w:r>
      <w:r>
        <w:rPr>
          <w:rFonts w:hint="eastAsia"/>
          <w:b/>
          <w:szCs w:val="21"/>
        </w:rPr>
        <w:t xml:space="preserve"> 航运要素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szCs w:val="21"/>
        </w:rPr>
        <w:t>　第一节</w:t>
      </w:r>
      <w:r>
        <w:rPr>
          <w:rFonts w:hint="eastAsia"/>
          <w:szCs w:val="21"/>
        </w:rPr>
        <w:t xml:space="preserve"> 运输船舶</w:t>
      </w:r>
      <w:r>
        <w:rPr>
          <w:szCs w:val="21"/>
        </w:rPr>
        <w:br w:type="textWrapping"/>
      </w:r>
      <w:r>
        <w:rPr>
          <w:szCs w:val="21"/>
        </w:rPr>
        <w:t>　第二节</w:t>
      </w:r>
      <w:r>
        <w:rPr>
          <w:rFonts w:hint="eastAsia"/>
          <w:szCs w:val="21"/>
        </w:rPr>
        <w:t xml:space="preserve"> 货物及运输特性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szCs w:val="21"/>
        </w:rPr>
        <w:t>　第三节</w:t>
      </w:r>
      <w:r>
        <w:rPr>
          <w:rFonts w:hint="eastAsia"/>
          <w:szCs w:val="21"/>
        </w:rPr>
        <w:t xml:space="preserve"> 国际商港</w:t>
      </w:r>
      <w:r>
        <w:rPr>
          <w:szCs w:val="21"/>
        </w:rPr>
        <w:br w:type="textWrapping"/>
      </w:r>
      <w:r>
        <w:rPr>
          <w:szCs w:val="21"/>
        </w:rPr>
        <w:t>　第四节</w:t>
      </w:r>
      <w:r>
        <w:rPr>
          <w:rFonts w:hint="eastAsia"/>
          <w:szCs w:val="21"/>
        </w:rPr>
        <w:t xml:space="preserve"> 国际航线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b/>
          <w:szCs w:val="21"/>
        </w:rPr>
        <w:t>第三章</w:t>
      </w:r>
      <w:r>
        <w:rPr>
          <w:rFonts w:hint="eastAsia"/>
          <w:b/>
          <w:szCs w:val="21"/>
        </w:rPr>
        <w:t xml:space="preserve"> 船舶营运管理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rFonts w:ascii="Tahoma" w:hAnsi="Tahoma" w:cs="Tahoma"/>
          <w:color w:val="333333"/>
          <w:sz w:val="18"/>
          <w:szCs w:val="18"/>
        </w:rPr>
        <w:t>　</w:t>
      </w:r>
      <w:r>
        <w:rPr>
          <w:szCs w:val="21"/>
        </w:rPr>
        <w:t>第一节</w:t>
      </w:r>
      <w:r>
        <w:rPr>
          <w:rFonts w:hint="eastAsia"/>
          <w:szCs w:val="21"/>
        </w:rPr>
        <w:t xml:space="preserve"> 船舶营运、财务指标以及集装箱运输指标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szCs w:val="21"/>
        </w:rPr>
        <w:t>　第二节</w:t>
      </w:r>
      <w:r>
        <w:rPr>
          <w:rFonts w:hint="eastAsia"/>
          <w:szCs w:val="21"/>
        </w:rPr>
        <w:t xml:space="preserve"> 船舶营运条件、营运方式</w:t>
      </w:r>
      <w:r>
        <w:rPr>
          <w:szCs w:val="21"/>
        </w:rPr>
        <w:br w:type="textWrapping"/>
      </w:r>
      <w:r>
        <w:rPr>
          <w:szCs w:val="21"/>
        </w:rPr>
        <w:t>　第三节</w:t>
      </w:r>
      <w:r>
        <w:rPr>
          <w:rFonts w:hint="eastAsia"/>
          <w:szCs w:val="21"/>
        </w:rPr>
        <w:t xml:space="preserve"> 航次生产活动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 xml:space="preserve">第四章 </w:t>
      </w:r>
      <w:r>
        <w:rPr>
          <w:rFonts w:hint="eastAsia"/>
          <w:b/>
        </w:rPr>
        <w:t>班轮营运管理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班轮航线参数及班轮货流分析</w:t>
      </w:r>
      <w:r>
        <w:br w:type="textWrapping"/>
      </w:r>
      <w:r>
        <w:t xml:space="preserve">　第二节 </w:t>
      </w:r>
      <w:r>
        <w:rPr>
          <w:rFonts w:hint="eastAsia"/>
        </w:rPr>
        <w:t>班轮航线论证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szCs w:val="21"/>
        </w:rPr>
        <w:t>　第三节</w:t>
      </w:r>
      <w:r>
        <w:rPr>
          <w:rFonts w:hint="eastAsia"/>
          <w:szCs w:val="21"/>
        </w:rPr>
        <w:t xml:space="preserve"> 航线配船</w:t>
      </w:r>
      <w:r>
        <w:rPr>
          <w:szCs w:val="21"/>
        </w:rPr>
        <w:br w:type="textWrapping"/>
      </w:r>
      <w:r>
        <w:rPr>
          <w:szCs w:val="21"/>
        </w:rPr>
        <w:t>　第四节</w:t>
      </w:r>
      <w:r>
        <w:rPr>
          <w:rFonts w:hint="eastAsia"/>
          <w:szCs w:val="21"/>
        </w:rPr>
        <w:t xml:space="preserve"> 挂港选择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szCs w:val="21"/>
        </w:rPr>
        <w:t>　第</w:t>
      </w:r>
      <w:r>
        <w:rPr>
          <w:rFonts w:hint="eastAsia"/>
          <w:szCs w:val="21"/>
        </w:rPr>
        <w:t>五</w:t>
      </w:r>
      <w:r>
        <w:rPr>
          <w:szCs w:val="21"/>
        </w:rPr>
        <w:t>节</w:t>
      </w:r>
      <w:r>
        <w:rPr>
          <w:rFonts w:hint="eastAsia"/>
          <w:szCs w:val="21"/>
        </w:rPr>
        <w:t xml:space="preserve"> 船期表制定</w:t>
      </w:r>
      <w:r>
        <w:br w:type="textWrapping"/>
      </w:r>
      <w:r>
        <w:rPr>
          <w:b/>
        </w:rPr>
        <w:t xml:space="preserve">第五章 </w:t>
      </w:r>
      <w:r>
        <w:rPr>
          <w:rFonts w:hint="eastAsia"/>
          <w:b/>
        </w:rPr>
        <w:t>不定期船营运管理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航次估算</w:t>
      </w:r>
      <w:r>
        <w:br w:type="textWrapping"/>
      </w:r>
      <w:r>
        <w:t xml:space="preserve">　第二节 </w:t>
      </w:r>
      <w:r>
        <w:rPr>
          <w:rFonts w:hint="eastAsia"/>
        </w:rPr>
        <w:t>船舶期租决策和封存决策</w:t>
      </w:r>
      <w:r>
        <w:br w:type="textWrapping"/>
      </w:r>
      <w:r>
        <w:t xml:space="preserve">　第三节 </w:t>
      </w:r>
      <w:r>
        <w:rPr>
          <w:rFonts w:hint="eastAsia"/>
        </w:rPr>
        <w:t>经济航速和盈利航速的确定及分析</w:t>
      </w:r>
      <w:r>
        <w:br w:type="textWrapping"/>
      </w:r>
      <w:r>
        <w:rPr>
          <w:b/>
        </w:rPr>
        <w:t xml:space="preserve">第六章 </w:t>
      </w:r>
      <w:r>
        <w:rPr>
          <w:rFonts w:hint="eastAsia"/>
          <w:b/>
        </w:rPr>
        <w:t>船舶生产计划与调度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船舶生产计划</w:t>
      </w:r>
      <w:r>
        <w:br w:type="textWrapping"/>
      </w:r>
      <w:r>
        <w:t xml:space="preserve">　第二节 </w:t>
      </w:r>
      <w:r>
        <w:rPr>
          <w:rFonts w:hint="eastAsia"/>
        </w:rPr>
        <w:t>船舶生产调度</w:t>
      </w:r>
      <w:r>
        <w:br w:type="textWrapping"/>
      </w:r>
      <w:r>
        <w:t xml:space="preserve">　第三节 </w:t>
      </w:r>
      <w:r>
        <w:rPr>
          <w:rFonts w:hint="eastAsia"/>
        </w:rPr>
        <w:t>船舶运输量指标及单位成本指标的分析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七</w:t>
      </w:r>
      <w:r>
        <w:rPr>
          <w:b/>
        </w:rPr>
        <w:t xml:space="preserve">章 </w:t>
      </w:r>
      <w:r>
        <w:rPr>
          <w:rFonts w:hint="eastAsia"/>
          <w:b/>
        </w:rPr>
        <w:t>航运企业经营管理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航运企业经营环境分析</w:t>
      </w:r>
      <w:r>
        <w:br w:type="textWrapping"/>
      </w:r>
      <w:r>
        <w:t xml:space="preserve">　第二节 </w:t>
      </w:r>
      <w:r>
        <w:rPr>
          <w:rFonts w:hint="eastAsia"/>
        </w:rPr>
        <w:t>航运企业经营战略与策略</w:t>
      </w:r>
      <w:r>
        <w:br w:type="textWrapping"/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《国际航运管理》,赵刚,大连海事大学出版社,2006年1月第1版。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NmMTRiOGM4NjYyZWI4OTQyNTYxY2RlNzhlNDAifQ=="/>
  </w:docVars>
  <w:rsids>
    <w:rsidRoot w:val="004B65A5"/>
    <w:rsid w:val="00061B4F"/>
    <w:rsid w:val="00073A56"/>
    <w:rsid w:val="000762FE"/>
    <w:rsid w:val="00080730"/>
    <w:rsid w:val="0008607A"/>
    <w:rsid w:val="00092340"/>
    <w:rsid w:val="000A7481"/>
    <w:rsid w:val="000C25FD"/>
    <w:rsid w:val="000F14DB"/>
    <w:rsid w:val="00172A99"/>
    <w:rsid w:val="00183541"/>
    <w:rsid w:val="001848FB"/>
    <w:rsid w:val="001B1D70"/>
    <w:rsid w:val="001C165A"/>
    <w:rsid w:val="001C2F19"/>
    <w:rsid w:val="001D1505"/>
    <w:rsid w:val="001E149A"/>
    <w:rsid w:val="0020731D"/>
    <w:rsid w:val="0023282D"/>
    <w:rsid w:val="0024344A"/>
    <w:rsid w:val="00252198"/>
    <w:rsid w:val="002D3700"/>
    <w:rsid w:val="002E0158"/>
    <w:rsid w:val="002E73FA"/>
    <w:rsid w:val="00305368"/>
    <w:rsid w:val="00311038"/>
    <w:rsid w:val="0032116D"/>
    <w:rsid w:val="0033096F"/>
    <w:rsid w:val="003704C9"/>
    <w:rsid w:val="00375432"/>
    <w:rsid w:val="003A4FD9"/>
    <w:rsid w:val="003B48F8"/>
    <w:rsid w:val="003C498A"/>
    <w:rsid w:val="00411FAE"/>
    <w:rsid w:val="00426CC0"/>
    <w:rsid w:val="00443036"/>
    <w:rsid w:val="00447CDD"/>
    <w:rsid w:val="00485800"/>
    <w:rsid w:val="0049221D"/>
    <w:rsid w:val="004B65A5"/>
    <w:rsid w:val="004B7217"/>
    <w:rsid w:val="004D42EC"/>
    <w:rsid w:val="004E3D99"/>
    <w:rsid w:val="004E40F2"/>
    <w:rsid w:val="004F3237"/>
    <w:rsid w:val="00521CC0"/>
    <w:rsid w:val="005257C5"/>
    <w:rsid w:val="00535C1D"/>
    <w:rsid w:val="0056029F"/>
    <w:rsid w:val="005743BB"/>
    <w:rsid w:val="00581E66"/>
    <w:rsid w:val="00595558"/>
    <w:rsid w:val="00597CBE"/>
    <w:rsid w:val="005A381F"/>
    <w:rsid w:val="005A796B"/>
    <w:rsid w:val="005B21BB"/>
    <w:rsid w:val="005E2211"/>
    <w:rsid w:val="005E2BE1"/>
    <w:rsid w:val="005E4615"/>
    <w:rsid w:val="0061256B"/>
    <w:rsid w:val="00624D82"/>
    <w:rsid w:val="00673C8B"/>
    <w:rsid w:val="0069404C"/>
    <w:rsid w:val="0069449E"/>
    <w:rsid w:val="006B1B88"/>
    <w:rsid w:val="006E0495"/>
    <w:rsid w:val="006E682D"/>
    <w:rsid w:val="00707D70"/>
    <w:rsid w:val="00720BB7"/>
    <w:rsid w:val="0072114F"/>
    <w:rsid w:val="00741BA4"/>
    <w:rsid w:val="00795D20"/>
    <w:rsid w:val="007A6229"/>
    <w:rsid w:val="007D6FDB"/>
    <w:rsid w:val="007F4C05"/>
    <w:rsid w:val="00804657"/>
    <w:rsid w:val="008158B3"/>
    <w:rsid w:val="0086069B"/>
    <w:rsid w:val="00860E2C"/>
    <w:rsid w:val="00864E9F"/>
    <w:rsid w:val="0087510B"/>
    <w:rsid w:val="008879A8"/>
    <w:rsid w:val="00893B85"/>
    <w:rsid w:val="00903DBA"/>
    <w:rsid w:val="009119B8"/>
    <w:rsid w:val="00940CF6"/>
    <w:rsid w:val="00945AAA"/>
    <w:rsid w:val="00963130"/>
    <w:rsid w:val="00966A85"/>
    <w:rsid w:val="00971C90"/>
    <w:rsid w:val="009800A7"/>
    <w:rsid w:val="00984BED"/>
    <w:rsid w:val="00991A5E"/>
    <w:rsid w:val="009A62F2"/>
    <w:rsid w:val="009A6931"/>
    <w:rsid w:val="009F272D"/>
    <w:rsid w:val="00A120F5"/>
    <w:rsid w:val="00A17899"/>
    <w:rsid w:val="00A53DFD"/>
    <w:rsid w:val="00A605E9"/>
    <w:rsid w:val="00A67C2E"/>
    <w:rsid w:val="00A76E67"/>
    <w:rsid w:val="00A8099C"/>
    <w:rsid w:val="00A850C8"/>
    <w:rsid w:val="00AC4DD1"/>
    <w:rsid w:val="00AD73EE"/>
    <w:rsid w:val="00B10A84"/>
    <w:rsid w:val="00B53FB4"/>
    <w:rsid w:val="00B54A9F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CC6CEC"/>
    <w:rsid w:val="00D029C7"/>
    <w:rsid w:val="00D30942"/>
    <w:rsid w:val="00D36237"/>
    <w:rsid w:val="00D43919"/>
    <w:rsid w:val="00D65759"/>
    <w:rsid w:val="00D701A2"/>
    <w:rsid w:val="00D76B44"/>
    <w:rsid w:val="00D94FF9"/>
    <w:rsid w:val="00DF4977"/>
    <w:rsid w:val="00E1145D"/>
    <w:rsid w:val="00E31480"/>
    <w:rsid w:val="00E345C7"/>
    <w:rsid w:val="00E401FA"/>
    <w:rsid w:val="00E6651A"/>
    <w:rsid w:val="00E8034E"/>
    <w:rsid w:val="00E94199"/>
    <w:rsid w:val="00EB362E"/>
    <w:rsid w:val="00EC6FF8"/>
    <w:rsid w:val="00ED441D"/>
    <w:rsid w:val="00EE3A0D"/>
    <w:rsid w:val="00EF106B"/>
    <w:rsid w:val="00EF1CE7"/>
    <w:rsid w:val="00F13126"/>
    <w:rsid w:val="00F36A95"/>
    <w:rsid w:val="00F37904"/>
    <w:rsid w:val="00F70D0A"/>
    <w:rsid w:val="00F9484E"/>
    <w:rsid w:val="00FD70E6"/>
    <w:rsid w:val="00FE5C11"/>
    <w:rsid w:val="00FE73E9"/>
    <w:rsid w:val="00FF67C8"/>
    <w:rsid w:val="046B3BB6"/>
    <w:rsid w:val="0E190095"/>
    <w:rsid w:val="13436D8E"/>
    <w:rsid w:val="138F2AE1"/>
    <w:rsid w:val="22D13745"/>
    <w:rsid w:val="2C853DB7"/>
    <w:rsid w:val="2D33391C"/>
    <w:rsid w:val="338C2181"/>
    <w:rsid w:val="36C74752"/>
    <w:rsid w:val="41C9474A"/>
    <w:rsid w:val="490160DF"/>
    <w:rsid w:val="5D7303C5"/>
    <w:rsid w:val="625C2F1D"/>
    <w:rsid w:val="723368CF"/>
    <w:rsid w:val="73F04C14"/>
    <w:rsid w:val="7E953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文档结构图 Char"/>
    <w:basedOn w:val="8"/>
    <w:link w:val="2"/>
    <w:uiPriority w:val="0"/>
    <w:rPr>
      <w:rFonts w:ascii="宋体"/>
      <w:kern w:val="2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 Char Char1 Char"/>
    <w:basedOn w:val="1"/>
    <w:semiHidden/>
    <w:uiPriority w:val="0"/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624</Words>
  <Characters>639</Characters>
  <Lines>5</Lines>
  <Paragraphs>1</Paragraphs>
  <TotalTime>0</TotalTime>
  <ScaleCrop>false</ScaleCrop>
  <LinksUpToDate>false</LinksUpToDate>
  <CharactersWithSpaces>701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2019-07-20T02:16:00Z</dcterms:created>
  <dc:creator>jh</dc:creator>
  <cp:lastModifiedBy>vertesyuan</cp:lastModifiedBy>
  <cp:lastPrinted>2010-07-08T03:33:00Z</cp:lastPrinted>
  <dcterms:modified xsi:type="dcterms:W3CDTF">2023-12-05T05:08:06Z</dcterms:modified>
  <dc:title>浙江师范大学2009年硕士研究生入学考试复试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1302A427386B4E48B3E7E91A826B9C26_13</vt:lpwstr>
  </property>
</Properties>
</file>