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eastAsia="黑体"/>
          <w:b/>
          <w:sz w:val="32"/>
          <w:szCs w:val="32"/>
        </w:rPr>
      </w:pPr>
      <w:bookmarkStart w:id="1" w:name="_GoBack"/>
      <w:bookmarkEnd w:id="1"/>
    </w:p>
    <w:p>
      <w:pPr>
        <w:spacing w:line="400" w:lineRule="exact"/>
        <w:jc w:val="center"/>
        <w:rPr>
          <w:rFonts w:hint="eastAsia" w:ascii="黑体" w:eastAsia="黑体"/>
          <w:b/>
          <w:sz w:val="32"/>
          <w:szCs w:val="32"/>
        </w:rPr>
      </w:pPr>
      <w:r>
        <w:rPr>
          <w:rFonts w:hint="eastAsia" w:ascii="黑体" w:eastAsia="黑体"/>
          <w:b/>
          <w:sz w:val="32"/>
          <w:szCs w:val="32"/>
        </w:rPr>
        <w:t>202</w:t>
      </w:r>
      <w:r>
        <w:rPr>
          <w:rFonts w:hint="eastAsia" w:ascii="黑体" w:eastAsia="黑体"/>
          <w:b/>
          <w:sz w:val="32"/>
          <w:szCs w:val="32"/>
          <w:lang w:val="en-US" w:eastAsia="zh-CN"/>
        </w:rPr>
        <w:t>4</w:t>
      </w:r>
      <w:r>
        <w:rPr>
          <w:rFonts w:hint="eastAsia" w:ascii="黑体" w:eastAsia="黑体"/>
          <w:b/>
          <w:sz w:val="32"/>
          <w:szCs w:val="32"/>
        </w:rPr>
        <w:t>年宁波大学硕士研究生招生考试初试科目</w:t>
      </w:r>
      <w:r>
        <w:rPr>
          <w:rFonts w:ascii="黑体" w:eastAsia="黑体"/>
          <w:b/>
          <w:sz w:val="32"/>
          <w:szCs w:val="32"/>
        </w:rPr>
        <w:br w:type="textWrapping"/>
      </w:r>
      <w:r>
        <w:rPr>
          <w:rFonts w:hint="eastAsia" w:ascii="黑体" w:eastAsia="黑体"/>
          <w:b/>
          <w:sz w:val="32"/>
          <w:szCs w:val="32"/>
        </w:rPr>
        <w:t>考　试　大　纲</w:t>
      </w:r>
    </w:p>
    <w:p>
      <w:pPr>
        <w:spacing w:line="400" w:lineRule="exact"/>
        <w:jc w:val="center"/>
        <w:rPr>
          <w:rFonts w:hint="eastAsia" w:ascii="楷体" w:hAnsi="楷体" w:eastAsia="楷体" w:cs="楷体"/>
          <w:szCs w:val="21"/>
        </w:rPr>
      </w:pPr>
      <w:r>
        <w:rPr>
          <w:rFonts w:hint="eastAsia" w:ascii="楷体" w:hAnsi="楷体" w:eastAsia="楷体" w:cs="楷体"/>
          <w:szCs w:val="21"/>
        </w:rPr>
        <w:t xml:space="preserve"> </w:t>
      </w:r>
    </w:p>
    <w:tbl>
      <w:tblPr>
        <w:tblStyle w:val="5"/>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wBefore w:w="0" w:type="dxa"/>
          <w:wAfter w:w="0" w:type="dxa"/>
          <w:trHeight w:val="435" w:hRule="atLeast"/>
        </w:trPr>
        <w:tc>
          <w:tcPr>
            <w:tcW w:w="1620" w:type="dxa"/>
            <w:noWrap w:val="0"/>
            <w:vAlign w:val="bottom"/>
          </w:tcPr>
          <w:p>
            <w:pPr>
              <w:spacing w:after="46" w:afterLines="15"/>
              <w:ind w:left="-105" w:leftChars="-50" w:right="-105" w:rightChars="-50"/>
              <w:rPr>
                <w:rFonts w:hint="eastAsia" w:ascii="宋体" w:hAnsi="宋体"/>
                <w:b/>
                <w:szCs w:val="21"/>
              </w:rPr>
            </w:pPr>
            <w:r>
              <w:rPr>
                <w:rFonts w:hint="eastAsia" w:ascii="宋体" w:hAnsi="宋体"/>
                <w:b/>
                <w:szCs w:val="21"/>
              </w:rPr>
              <w:t>科目代码、名称:</w:t>
            </w:r>
          </w:p>
        </w:tc>
        <w:tc>
          <w:tcPr>
            <w:tcW w:w="6840" w:type="dxa"/>
            <w:tcBorders>
              <w:bottom w:val="single" w:color="auto" w:sz="4" w:space="0"/>
            </w:tcBorders>
            <w:noWrap w:val="0"/>
            <w:vAlign w:val="bottom"/>
          </w:tcPr>
          <w:p>
            <w:pPr>
              <w:pStyle w:val="2"/>
              <w:spacing w:before="78" w:beforeLines="25" w:after="31" w:afterLines="10" w:line="240" w:lineRule="auto"/>
              <w:jc w:val="center"/>
              <w:rPr>
                <w:rFonts w:hint="eastAsia"/>
                <w:sz w:val="21"/>
                <w:szCs w:val="21"/>
              </w:rPr>
            </w:pPr>
            <w:r>
              <w:rPr>
                <w:rFonts w:hint="eastAsia"/>
                <w:color w:val="000000"/>
                <w:sz w:val="21"/>
                <w:szCs w:val="21"/>
              </w:rPr>
              <w:t>811 宏微观经济学</w:t>
            </w:r>
          </w:p>
        </w:tc>
      </w:tr>
    </w:tbl>
    <w:p>
      <w:pPr>
        <w:numPr>
          <w:ilvl w:val="0"/>
          <w:numId w:val="1"/>
        </w:numPr>
        <w:spacing w:before="312" w:beforeLines="100" w:after="31" w:afterLines="10" w:line="360" w:lineRule="auto"/>
        <w:rPr>
          <w:rFonts w:hint="eastAsia"/>
          <w:b/>
          <w:szCs w:val="21"/>
        </w:rPr>
      </w:pPr>
      <w:r>
        <w:rPr>
          <w:rFonts w:hint="eastAsia"/>
          <w:b/>
          <w:szCs w:val="21"/>
        </w:rPr>
        <w:t xml:space="preserve">考试形式与试卷结构    </w:t>
      </w:r>
    </w:p>
    <w:p>
      <w:pPr>
        <w:pStyle w:val="10"/>
        <w:numPr>
          <w:ilvl w:val="0"/>
          <w:numId w:val="2"/>
        </w:numPr>
        <w:spacing w:before="31" w:beforeLines="10" w:after="31" w:afterLines="10" w:line="360" w:lineRule="auto"/>
        <w:ind w:firstLine="422"/>
        <w:rPr>
          <w:rFonts w:hint="eastAsia"/>
          <w:b/>
          <w:szCs w:val="21"/>
        </w:rPr>
      </w:pPr>
      <w:r>
        <w:rPr>
          <w:rFonts w:hint="eastAsia"/>
          <w:b/>
          <w:szCs w:val="21"/>
        </w:rPr>
        <w:t>试卷满分值及考试时间</w:t>
      </w:r>
    </w:p>
    <w:p>
      <w:pPr>
        <w:pStyle w:val="10"/>
        <w:spacing w:before="31" w:beforeLines="10" w:after="31" w:afterLines="10" w:line="360" w:lineRule="auto"/>
        <w:ind w:firstLine="0" w:firstLineChars="0"/>
        <w:rPr>
          <w:rFonts w:ascii="新宋体" w:hAnsi="新宋体" w:eastAsia="新宋体"/>
          <w:szCs w:val="21"/>
        </w:rPr>
      </w:pPr>
      <w:r>
        <w:rPr>
          <w:rFonts w:hint="eastAsia" w:ascii="新宋体" w:hAnsi="新宋体" w:eastAsia="新宋体"/>
          <w:b/>
          <w:bCs/>
          <w:color w:val="FF0000"/>
          <w:szCs w:val="21"/>
        </w:rPr>
        <w:t xml:space="preserve">   </w:t>
      </w:r>
      <w:r>
        <w:rPr>
          <w:rFonts w:hint="eastAsia" w:ascii="楷体" w:hAnsi="楷体" w:eastAsia="楷体" w:cs="楷体"/>
          <w:b/>
          <w:bCs/>
          <w:color w:val="FF0000"/>
          <w:szCs w:val="21"/>
        </w:rPr>
        <w:t xml:space="preserve">  </w:t>
      </w:r>
      <w:r>
        <w:rPr>
          <w:rFonts w:hint="eastAsia" w:ascii="新宋体" w:hAnsi="新宋体" w:eastAsia="新宋体"/>
          <w:szCs w:val="21"/>
        </w:rPr>
        <w:t>本试卷满分为150分，考试时间为180分钟。</w:t>
      </w:r>
    </w:p>
    <w:p>
      <w:pPr>
        <w:pStyle w:val="9"/>
        <w:spacing w:before="31" w:beforeLines="10" w:after="31" w:afterLines="10" w:line="360" w:lineRule="auto"/>
        <w:ind w:firstLine="0" w:firstLineChars="0"/>
        <w:rPr>
          <w:rFonts w:ascii="新宋体" w:hAnsi="新宋体" w:eastAsia="新宋体"/>
          <w:b/>
          <w:szCs w:val="21"/>
        </w:rPr>
      </w:pPr>
      <w:r>
        <w:rPr>
          <w:rFonts w:hint="eastAsia" w:ascii="新宋体" w:hAnsi="新宋体" w:eastAsia="新宋体"/>
          <w:b/>
          <w:szCs w:val="21"/>
        </w:rPr>
        <w:t xml:space="preserve">    （二）答题方式</w:t>
      </w:r>
    </w:p>
    <w:p>
      <w:pPr>
        <w:pStyle w:val="9"/>
        <w:spacing w:before="31" w:beforeLines="10" w:after="31" w:afterLines="10" w:line="360" w:lineRule="auto"/>
        <w:rPr>
          <w:rFonts w:hint="eastAsia" w:ascii="新宋体" w:hAnsi="新宋体" w:eastAsia="新宋体"/>
          <w:szCs w:val="21"/>
        </w:rPr>
      </w:pPr>
      <w:r>
        <w:rPr>
          <w:rFonts w:hint="eastAsia" w:ascii="新宋体" w:hAnsi="新宋体" w:eastAsia="新宋体"/>
          <w:szCs w:val="21"/>
        </w:rPr>
        <w:t xml:space="preserve"> 答题方式为闭卷、笔试。试卷由试题和答题纸组成；答案必须写在答题纸（由考点提供）相应的位置上。</w:t>
      </w:r>
    </w:p>
    <w:p>
      <w:pPr>
        <w:pStyle w:val="9"/>
        <w:spacing w:before="31" w:beforeLines="10" w:after="31" w:afterLines="10" w:line="360" w:lineRule="auto"/>
        <w:ind w:firstLine="422"/>
        <w:rPr>
          <w:rFonts w:hint="eastAsia"/>
          <w:b/>
          <w:szCs w:val="21"/>
        </w:rPr>
      </w:pPr>
      <w:r>
        <w:rPr>
          <w:rFonts w:hint="eastAsia" w:ascii="新宋体" w:hAnsi="新宋体" w:eastAsia="新宋体"/>
          <w:b/>
          <w:szCs w:val="21"/>
        </w:rPr>
        <w:t>（三）试卷内容结构</w:t>
      </w:r>
    </w:p>
    <w:p>
      <w:pPr>
        <w:adjustRightInd w:val="0"/>
        <w:snapToGrid w:val="0"/>
        <w:spacing w:line="440" w:lineRule="exact"/>
        <w:ind w:firstLine="420" w:firstLineChars="200"/>
        <w:rPr>
          <w:rFonts w:ascii="宋体" w:hAnsi="宋体" w:cs="Arial"/>
          <w:color w:val="000000"/>
          <w:szCs w:val="21"/>
        </w:rPr>
      </w:pPr>
      <w:r>
        <w:rPr>
          <w:rFonts w:hint="eastAsia" w:ascii="宋体" w:hAnsi="宋体" w:cs="Arial"/>
          <w:color w:val="000000"/>
          <w:szCs w:val="21"/>
        </w:rPr>
        <w:t>考试内容主要包括微观经济学与宏观经济学的研究对象与方法，均衡价格理论，消费者行为理论，生产理论，厂商理论，分配理论，福利经济学、市场失灵理论，国民收入核算和决定理论，产品市场和货币市场的一般均衡理论，宏观经济政策，失业与通货膨胀理论，经济增长和经济周期理论。</w:t>
      </w:r>
    </w:p>
    <w:p>
      <w:pPr>
        <w:pStyle w:val="9"/>
        <w:spacing w:before="31" w:beforeLines="10" w:after="31" w:afterLines="10" w:line="360" w:lineRule="auto"/>
        <w:ind w:firstLine="422"/>
        <w:rPr>
          <w:rFonts w:ascii="新宋体" w:hAnsi="新宋体" w:eastAsia="新宋体"/>
          <w:b/>
          <w:szCs w:val="21"/>
        </w:rPr>
      </w:pPr>
      <w:r>
        <w:rPr>
          <w:rFonts w:hint="eastAsia" w:ascii="新宋体" w:hAnsi="新宋体" w:eastAsia="新宋体"/>
          <w:b/>
          <w:szCs w:val="21"/>
        </w:rPr>
        <w:t>（四）试卷题型结构</w:t>
      </w:r>
    </w:p>
    <w:p>
      <w:pPr>
        <w:spacing w:line="440" w:lineRule="exact"/>
        <w:ind w:firstLine="420" w:firstLineChars="200"/>
        <w:rPr>
          <w:rFonts w:hint="eastAsia" w:ascii="宋体" w:hAnsi="宋体"/>
          <w:color w:val="000000"/>
          <w:szCs w:val="21"/>
        </w:rPr>
      </w:pPr>
      <w:r>
        <w:rPr>
          <w:rFonts w:hint="eastAsia" w:ascii="宋体" w:hAnsi="宋体" w:cs="Arial"/>
          <w:color w:val="000000"/>
          <w:szCs w:val="21"/>
        </w:rPr>
        <w:t>1、名词解释2、简答题3、论述题4、计算题</w:t>
      </w:r>
    </w:p>
    <w:p>
      <w:pPr>
        <w:spacing w:line="360" w:lineRule="auto"/>
        <w:rPr>
          <w:b/>
          <w:szCs w:val="21"/>
        </w:rPr>
      </w:pPr>
      <w:r>
        <w:rPr>
          <w:rFonts w:hint="eastAsia"/>
          <w:b/>
          <w:szCs w:val="21"/>
        </w:rPr>
        <w:t>二、考查目标</w:t>
      </w:r>
    </w:p>
    <w:p>
      <w:pPr>
        <w:adjustRightInd w:val="0"/>
        <w:snapToGrid w:val="0"/>
        <w:spacing w:line="440" w:lineRule="exact"/>
        <w:ind w:firstLine="420" w:firstLineChars="200"/>
        <w:rPr>
          <w:rFonts w:hint="eastAsia" w:ascii="宋体" w:hAnsi="宋体" w:cs="Arial"/>
          <w:color w:val="000000"/>
          <w:szCs w:val="21"/>
        </w:rPr>
      </w:pPr>
      <w:r>
        <w:rPr>
          <w:rFonts w:hint="eastAsia" w:ascii="宋体" w:hAnsi="宋体" w:cs="Arial"/>
          <w:color w:val="000000"/>
          <w:szCs w:val="21"/>
        </w:rPr>
        <w:t>微观经济学与宏观经济学是经济、贸易类专业的一门基础理论必修课。课程考试的目的在于测试学生对微观经济学和宏观经济学的基本概念，基本原理及基本工具和方法的掌握程度，了解其是否具有初步应用这些基本原理和基本方法分析有关问题的能力。</w:t>
      </w:r>
    </w:p>
    <w:p>
      <w:pPr>
        <w:numPr>
          <w:ilvl w:val="0"/>
          <w:numId w:val="3"/>
        </w:numPr>
        <w:spacing w:before="31" w:beforeLines="10" w:after="31" w:afterLines="10" w:line="360" w:lineRule="auto"/>
        <w:rPr>
          <w:rFonts w:hint="eastAsia"/>
          <w:b/>
          <w:szCs w:val="21"/>
        </w:rPr>
      </w:pPr>
      <w:r>
        <w:rPr>
          <w:rFonts w:hint="eastAsia"/>
          <w:b/>
          <w:szCs w:val="21"/>
        </w:rPr>
        <w:t>考查范围或考试内容概要</w:t>
      </w:r>
    </w:p>
    <w:p>
      <w:pPr>
        <w:adjustRightInd w:val="0"/>
        <w:snapToGrid w:val="0"/>
        <w:spacing w:line="440" w:lineRule="exact"/>
        <w:ind w:firstLine="420" w:firstLineChars="200"/>
        <w:rPr>
          <w:rFonts w:hint="eastAsia" w:ascii="黑体" w:hAnsi="宋体" w:eastAsia="黑体" w:cs="Arial"/>
          <w:b/>
          <w:bCs/>
          <w:color w:val="000000"/>
          <w:szCs w:val="21"/>
        </w:rPr>
      </w:pPr>
      <w:r>
        <w:rPr>
          <w:rFonts w:hint="eastAsia" w:ascii="宋体" w:hAnsi="宋体" w:cs="Arial"/>
          <w:color w:val="000000"/>
          <w:szCs w:val="21"/>
        </w:rPr>
        <w:t xml:space="preserve">   </w:t>
      </w:r>
      <w:r>
        <w:rPr>
          <w:rFonts w:hint="eastAsia" w:ascii="黑体" w:hAnsi="宋体" w:eastAsia="黑体" w:cs="Arial"/>
          <w:b/>
          <w:bCs/>
          <w:color w:val="000000"/>
          <w:szCs w:val="21"/>
        </w:rPr>
        <w:t>引论</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掌握要点：</w:t>
      </w:r>
    </w:p>
    <w:p>
      <w:pPr>
        <w:spacing w:line="440" w:lineRule="exact"/>
        <w:ind w:firstLine="420" w:firstLineChars="200"/>
        <w:rPr>
          <w:rFonts w:ascii="宋体" w:hAnsi="宋体" w:cs="Arial"/>
          <w:color w:val="000000"/>
          <w:szCs w:val="21"/>
        </w:rPr>
      </w:pPr>
      <w:r>
        <w:rPr>
          <w:rFonts w:hint="eastAsia" w:ascii="宋体" w:hAnsi="宋体" w:cs="Arial"/>
          <w:color w:val="000000"/>
          <w:szCs w:val="21"/>
        </w:rPr>
        <w:t>（1）经济学定义、稀缺性、机会成本、生产可能性边界等基本概念。</w:t>
      </w:r>
    </w:p>
    <w:p>
      <w:pPr>
        <w:spacing w:line="440" w:lineRule="exact"/>
        <w:ind w:left="210" w:leftChars="100" w:firstLine="210" w:firstLineChars="100"/>
        <w:rPr>
          <w:rFonts w:ascii="宋体" w:hAnsi="宋体" w:cs="Arial"/>
          <w:color w:val="000000"/>
          <w:szCs w:val="21"/>
        </w:rPr>
      </w:pPr>
      <w:r>
        <w:rPr>
          <w:rFonts w:hint="eastAsia" w:ascii="宋体" w:hAnsi="宋体" w:cs="Arial"/>
          <w:color w:val="000000"/>
          <w:szCs w:val="21"/>
        </w:rPr>
        <w:t>（2）微观经济学与宏观经济学的含义。</w:t>
      </w:r>
    </w:p>
    <w:p>
      <w:pPr>
        <w:spacing w:line="440" w:lineRule="exact"/>
        <w:ind w:left="210" w:leftChars="100" w:firstLine="210" w:firstLineChars="100"/>
        <w:rPr>
          <w:rFonts w:ascii="宋体" w:hAnsi="宋体" w:cs="Arial"/>
          <w:color w:val="000000"/>
          <w:szCs w:val="21"/>
        </w:rPr>
      </w:pPr>
      <w:r>
        <w:rPr>
          <w:rFonts w:hint="eastAsia" w:ascii="宋体" w:hAnsi="宋体" w:cs="Arial"/>
          <w:color w:val="000000"/>
          <w:szCs w:val="21"/>
        </w:rPr>
        <w:t>（3）实证经济学与规范经济学的区别。</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（4）西方经济学的产生与发展。</w:t>
      </w:r>
    </w:p>
    <w:p>
      <w:pPr>
        <w:spacing w:line="440" w:lineRule="exact"/>
        <w:ind w:left="210"/>
        <w:rPr>
          <w:rFonts w:hint="eastAsia" w:ascii="宋体" w:hAnsi="宋体" w:cs="Arial"/>
          <w:color w:val="000000"/>
          <w:szCs w:val="21"/>
        </w:rPr>
      </w:pPr>
    </w:p>
    <w:p>
      <w:pPr>
        <w:spacing w:line="440" w:lineRule="exact"/>
        <w:ind w:firstLine="422" w:firstLineChars="200"/>
        <w:rPr>
          <w:rFonts w:hint="eastAsia" w:ascii="黑体" w:hAnsi="宋体" w:eastAsia="黑体" w:cs="Arial"/>
          <w:b/>
          <w:bCs/>
          <w:color w:val="000000"/>
          <w:szCs w:val="21"/>
        </w:rPr>
      </w:pPr>
      <w:r>
        <w:rPr>
          <w:rFonts w:hint="eastAsia" w:ascii="黑体" w:hAnsi="宋体" w:eastAsia="黑体" w:cs="Arial"/>
          <w:b/>
          <w:bCs/>
          <w:color w:val="000000"/>
          <w:szCs w:val="21"/>
        </w:rPr>
        <w:t>微观经济理论部分</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1、均衡价格理论</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掌握要点：</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（1）需求、需求表、需求曲线的含义与需求规律。</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（2）需求变动与需求量的变动。</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（3）影响需求变动的因素</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（4）供给、供给表、供给曲线的含义与供给规律。</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（5）供给变动与供给量的变动。</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（6）影响供给变动的因素。</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（7）均衡价格的含义。</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（8）需求和供给变动对均衡的影响。</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（9）需求弹性的含义。</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（10）需求富有弹性与缺乏弹性的含义。</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（11）需求弹性与总收益的关系。</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（12）需求收入弹性、需求交叉弹性、供给弹性。</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2、消费者行为理论</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掌握要点：</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（1）效用、总效用、边际效用的含义。</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（2）总效用与边际效用的关系。</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（3）边际效用递减规律的含义。</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（4）消费者均衡。</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（5）无差异曲线的含义与特征。</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（6）预算线的含义。</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（7）价格变化和收入变化对消费者均衡的影响。</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（8）替代效应和收入效应。</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（9）不确定性和风险</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3、生产理论</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掌握要点：</w:t>
      </w:r>
    </w:p>
    <w:p>
      <w:pPr>
        <w:spacing w:line="440" w:lineRule="exact"/>
        <w:ind w:left="210" w:leftChars="100" w:firstLine="210" w:firstLineChars="100"/>
        <w:rPr>
          <w:rFonts w:hint="eastAsia" w:ascii="宋体" w:hAnsi="宋体" w:cs="Arial"/>
          <w:color w:val="000000"/>
          <w:szCs w:val="21"/>
        </w:rPr>
      </w:pPr>
      <w:r>
        <w:rPr>
          <w:rFonts w:hint="eastAsia" w:ascii="宋体" w:hAnsi="宋体" w:cs="Arial"/>
          <w:color w:val="000000"/>
          <w:szCs w:val="21"/>
        </w:rPr>
        <w:t>（1）生产要素与生产函数。</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（2）边际收益递减规律。</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（3）总产量、平均产量、边际产量的关系。</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（4）生产的三个阶段的划分。</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（5）等产量线的含义和特征。</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（6）等成本线的含义。</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（7）最优的生产要素组合。</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（8）扩展线。</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（9）规模报酬。</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4、成本理论</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掌握要点：</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（1）短期与长期的含义和区别。</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（2）短期成本分类与变动规律。</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（3）短期成本曲线及其相互关系。</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（4）长期平均成本曲线的形成和特点。</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（5）规模经济。</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 xml:space="preserve">5、完全竞争市场     </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掌握要点：</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（1）完全竞争市场的含义及特点。</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（2）完全竞争厂商的需求曲线、收益曲线。</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（3）总收益、平均收益和边际收益的含义</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（4）利润最大化的基本原则。</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（5）完全竞争厂商的短期均衡与短期供给曲线</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（6）完全竞争厂商的长期均衡。</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（7）完全竞争行业的长期供给曲线。</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6、非完全竞争市场的市场</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掌握要点：</w:t>
      </w:r>
    </w:p>
    <w:p>
      <w:pPr>
        <w:spacing w:line="440" w:lineRule="exact"/>
        <w:ind w:firstLine="480"/>
        <w:rPr>
          <w:rFonts w:hint="eastAsia" w:ascii="宋体" w:hAnsi="宋体" w:cs="Arial"/>
          <w:color w:val="000000"/>
          <w:szCs w:val="21"/>
        </w:rPr>
      </w:pPr>
      <w:r>
        <w:rPr>
          <w:rFonts w:hint="eastAsia" w:ascii="宋体" w:hAnsi="宋体" w:cs="Arial"/>
          <w:color w:val="000000"/>
          <w:szCs w:val="21"/>
        </w:rPr>
        <w:t>（1）完全垄断、垄断竞争、寡头垄断市场的条件。</w:t>
      </w:r>
    </w:p>
    <w:p>
      <w:pPr>
        <w:spacing w:line="440" w:lineRule="exact"/>
        <w:ind w:firstLine="480"/>
        <w:rPr>
          <w:rFonts w:hint="eastAsia" w:ascii="宋体" w:hAnsi="宋体" w:cs="Arial"/>
          <w:color w:val="000000"/>
          <w:szCs w:val="21"/>
        </w:rPr>
      </w:pPr>
      <w:r>
        <w:rPr>
          <w:rFonts w:hint="eastAsia" w:ascii="宋体" w:hAnsi="宋体" w:cs="Arial"/>
          <w:color w:val="000000"/>
          <w:szCs w:val="21"/>
        </w:rPr>
        <w:t>（2）完全垄断厂商的需求曲线和收益曲线。</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（3）完全垄断厂商的短期均衡和长期均衡。</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（4）价格歧视。</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（5）垄断竞争厂商的需求曲线。</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（6）垄断竞争厂商短期均衡和长期均衡的条件。</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（7）古诺模型和斯威齐模型。</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（8）博弈论初步。</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（9）不同市场的比较。</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7、生产要素价格决定的需求方面</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掌握要点：</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（1）引致需求。</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（2）完全竞争厂商使用生产要素的原则。</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（3）完全竞争厂商的要素需求曲线。</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（4）卖方垄断与买方垄断的含义。</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（5）卖方垄断厂商与买方垄断厂商的要素需求曲线。</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8、生产要素价格决定的供给方面</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（1）要素供给原则。</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（2）土地的供给曲线和地租的决定。</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（3）资本的供给曲线和利息的决定。</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（4）欧拉定理。</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（5）洛伦兹曲线和基尼系数。</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9、一般均衡论和福利经济学。</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掌握要点：</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（1）一般均衡的含义。</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（2）判断经济效率的标准。</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（3）交换的帕累托最优条件。</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（4）生产的帕累托最优条件。</w:t>
      </w:r>
    </w:p>
    <w:p>
      <w:pPr>
        <w:spacing w:line="440" w:lineRule="exact"/>
        <w:ind w:left="479" w:leftChars="228"/>
        <w:rPr>
          <w:rFonts w:hint="eastAsia" w:ascii="宋体" w:hAnsi="宋体" w:cs="Arial"/>
          <w:color w:val="000000"/>
          <w:szCs w:val="21"/>
        </w:rPr>
      </w:pPr>
      <w:r>
        <w:rPr>
          <w:rFonts w:hint="eastAsia" w:ascii="宋体" w:hAnsi="宋体" w:cs="Arial"/>
          <w:color w:val="000000"/>
          <w:szCs w:val="21"/>
        </w:rPr>
        <w:t>（5）交换和生产的帕累托最优条件。</w:t>
      </w:r>
    </w:p>
    <w:p>
      <w:pPr>
        <w:spacing w:line="440" w:lineRule="exact"/>
        <w:ind w:left="479" w:leftChars="228"/>
        <w:rPr>
          <w:rFonts w:hint="eastAsia" w:ascii="宋体" w:hAnsi="宋体" w:cs="宋体"/>
          <w:color w:val="000000"/>
          <w:szCs w:val="21"/>
        </w:rPr>
      </w:pPr>
      <w:r>
        <w:rPr>
          <w:rFonts w:hint="eastAsia" w:ascii="宋体" w:hAnsi="宋体" w:cs="Arial"/>
          <w:color w:val="000000"/>
          <w:szCs w:val="21"/>
        </w:rPr>
        <w:t>10、</w:t>
      </w:r>
      <w:r>
        <w:rPr>
          <w:rFonts w:hint="eastAsia" w:ascii="宋体" w:hAnsi="宋体" w:cs="宋体"/>
          <w:color w:val="000000"/>
          <w:szCs w:val="21"/>
        </w:rPr>
        <w:t>市场失灵和微观经济政策</w:t>
      </w:r>
    </w:p>
    <w:p>
      <w:pPr>
        <w:spacing w:line="440" w:lineRule="exact"/>
        <w:ind w:left="479"/>
        <w:rPr>
          <w:rFonts w:hint="eastAsia" w:ascii="宋体" w:hAnsi="宋体" w:cs="宋体"/>
          <w:color w:val="000000"/>
          <w:szCs w:val="21"/>
        </w:rPr>
      </w:pPr>
      <w:r>
        <w:rPr>
          <w:rFonts w:hint="eastAsia" w:ascii="宋体" w:hAnsi="宋体" w:cs="宋体"/>
          <w:color w:val="000000"/>
          <w:szCs w:val="21"/>
        </w:rPr>
        <w:t>（1）市场失灵的含义。</w:t>
      </w:r>
    </w:p>
    <w:p>
      <w:pPr>
        <w:spacing w:line="440" w:lineRule="exact"/>
        <w:ind w:left="479"/>
        <w:rPr>
          <w:rFonts w:hint="eastAsia" w:ascii="宋体" w:hAnsi="宋体" w:cs="宋体"/>
          <w:color w:val="000000"/>
          <w:szCs w:val="21"/>
        </w:rPr>
      </w:pPr>
      <w:r>
        <w:rPr>
          <w:rFonts w:hint="eastAsia" w:ascii="宋体" w:hAnsi="宋体" w:cs="宋体"/>
          <w:color w:val="000000"/>
          <w:szCs w:val="21"/>
        </w:rPr>
        <w:t>（2）市场失灵的原因。</w:t>
      </w:r>
    </w:p>
    <w:p>
      <w:pPr>
        <w:spacing w:line="440" w:lineRule="exact"/>
        <w:ind w:left="479"/>
        <w:rPr>
          <w:rFonts w:hint="eastAsia" w:ascii="宋体" w:hAnsi="宋体" w:cs="宋体"/>
          <w:color w:val="000000"/>
          <w:szCs w:val="21"/>
        </w:rPr>
      </w:pPr>
      <w:r>
        <w:rPr>
          <w:rFonts w:hint="eastAsia" w:ascii="宋体" w:hAnsi="宋体" w:cs="宋体"/>
          <w:color w:val="000000"/>
          <w:szCs w:val="21"/>
        </w:rPr>
        <w:t>（3）外部性、科斯定理。</w:t>
      </w:r>
    </w:p>
    <w:p>
      <w:pPr>
        <w:spacing w:line="440" w:lineRule="exact"/>
        <w:ind w:left="479"/>
        <w:rPr>
          <w:rFonts w:hint="eastAsia" w:ascii="宋体" w:hAnsi="宋体" w:cs="宋体"/>
          <w:color w:val="000000"/>
          <w:szCs w:val="21"/>
        </w:rPr>
      </w:pPr>
      <w:r>
        <w:rPr>
          <w:rFonts w:hint="eastAsia" w:ascii="宋体" w:hAnsi="宋体" w:cs="宋体"/>
          <w:color w:val="000000"/>
          <w:szCs w:val="21"/>
        </w:rPr>
        <w:t>（4）公共物品和公共资源。</w:t>
      </w:r>
    </w:p>
    <w:p>
      <w:pPr>
        <w:spacing w:line="440" w:lineRule="exact"/>
        <w:ind w:left="479"/>
        <w:rPr>
          <w:rFonts w:hint="eastAsia" w:ascii="宋体" w:hAnsi="宋体" w:cs="宋体"/>
          <w:color w:val="000000"/>
          <w:szCs w:val="21"/>
        </w:rPr>
      </w:pPr>
      <w:r>
        <w:rPr>
          <w:rFonts w:hint="eastAsia" w:ascii="宋体" w:hAnsi="宋体" w:cs="宋体"/>
          <w:color w:val="000000"/>
          <w:szCs w:val="21"/>
        </w:rPr>
        <w:t>（5）公共选择理论。</w:t>
      </w:r>
    </w:p>
    <w:p>
      <w:pPr>
        <w:spacing w:line="440" w:lineRule="exact"/>
        <w:ind w:left="479"/>
        <w:rPr>
          <w:rFonts w:hint="eastAsia" w:ascii="宋体" w:hAnsi="宋体" w:cs="宋体"/>
          <w:color w:val="000000"/>
          <w:szCs w:val="21"/>
        </w:rPr>
      </w:pPr>
      <w:r>
        <w:rPr>
          <w:rFonts w:hint="eastAsia" w:ascii="宋体" w:hAnsi="宋体" w:cs="宋体"/>
          <w:color w:val="000000"/>
          <w:szCs w:val="21"/>
        </w:rPr>
        <w:t>（6）逆向选择问题。</w:t>
      </w:r>
    </w:p>
    <w:p>
      <w:pPr>
        <w:spacing w:line="440" w:lineRule="exact"/>
        <w:ind w:left="479"/>
        <w:rPr>
          <w:rFonts w:hint="eastAsia" w:ascii="宋体" w:hAnsi="宋体" w:cs="Arial"/>
          <w:color w:val="000000"/>
          <w:szCs w:val="21"/>
        </w:rPr>
      </w:pPr>
      <w:r>
        <w:rPr>
          <w:rFonts w:hint="eastAsia" w:ascii="宋体" w:hAnsi="宋体" w:cs="宋体"/>
          <w:color w:val="000000"/>
          <w:szCs w:val="21"/>
        </w:rPr>
        <w:t>（7）委托代理问题。</w:t>
      </w:r>
    </w:p>
    <w:p>
      <w:pPr>
        <w:spacing w:line="440" w:lineRule="exact"/>
        <w:rPr>
          <w:rFonts w:hint="eastAsia" w:ascii="宋体" w:hAnsi="宋体" w:cs="Arial"/>
          <w:color w:val="000000"/>
          <w:szCs w:val="21"/>
        </w:rPr>
      </w:pPr>
    </w:p>
    <w:p>
      <w:pPr>
        <w:spacing w:line="440" w:lineRule="exact"/>
        <w:ind w:firstLine="422" w:firstLineChars="200"/>
        <w:rPr>
          <w:rFonts w:hint="eastAsia" w:ascii="黑体" w:hAnsi="宋体" w:eastAsia="黑体" w:cs="Arial"/>
          <w:b/>
          <w:bCs/>
          <w:color w:val="000000"/>
          <w:szCs w:val="21"/>
        </w:rPr>
      </w:pPr>
      <w:r>
        <w:rPr>
          <w:rFonts w:hint="eastAsia" w:ascii="黑体" w:hAnsi="宋体" w:eastAsia="黑体" w:cs="Arial"/>
          <w:b/>
          <w:bCs/>
          <w:color w:val="000000"/>
          <w:szCs w:val="21"/>
        </w:rPr>
        <w:t>宏观经济理论部分</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1、国民收入决定理论</w:t>
      </w:r>
    </w:p>
    <w:p>
      <w:pPr>
        <w:spacing w:line="440" w:lineRule="exact"/>
        <w:ind w:firstLine="480"/>
        <w:rPr>
          <w:rFonts w:hint="eastAsia" w:ascii="宋体" w:hAnsi="宋体" w:cs="Arial"/>
          <w:color w:val="000000"/>
          <w:szCs w:val="21"/>
        </w:rPr>
      </w:pPr>
      <w:r>
        <w:rPr>
          <w:rFonts w:hint="eastAsia" w:ascii="宋体" w:hAnsi="宋体" w:cs="Arial"/>
          <w:color w:val="000000"/>
          <w:szCs w:val="21"/>
        </w:rPr>
        <w:t>掌握要点：</w:t>
      </w:r>
    </w:p>
    <w:p>
      <w:pPr>
        <w:spacing w:line="440" w:lineRule="exact"/>
        <w:ind w:firstLine="480"/>
        <w:rPr>
          <w:rFonts w:hint="eastAsia" w:ascii="宋体" w:hAnsi="宋体" w:cs="Arial"/>
          <w:color w:val="000000"/>
          <w:szCs w:val="21"/>
        </w:rPr>
      </w:pPr>
      <w:r>
        <w:rPr>
          <w:rFonts w:hint="eastAsia" w:ascii="宋体" w:hAnsi="宋体" w:cs="Arial"/>
          <w:color w:val="000000"/>
          <w:szCs w:val="21"/>
        </w:rPr>
        <w:t>（1）国内生产总值（GDP）的定义。</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（2）GDP的统计方法：支出法和收入法。</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（3）国民收入的几个总量（GDP、NDP、NI、PI、DPI）的关系与计算。</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（4）名义GDP、实际GDP。</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（5）消费函数、储蓄函数及其关系，APC、APS、MPC、MPS的含义。</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（6）乘数理论。</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（7）国民收入的决定理论。</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2、产品市场和货币市场的一般均衡理论</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（1）货币的需求和供给。</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（2）货币需求动机、流动偏好陷阱、货币需求函数、货币供求均衡条件。</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（3）商品市场的均衡模型（IS模型）及其计算。</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（4）货币市场的均衡模型（LM）及其计算。</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（5）商品市场和货币市场同时均衡模型（IS-LM模型）及其政策含义。</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 xml:space="preserve">3、宏观经济政策    </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掌握要点：</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（1）财政政策的内容及其运用。</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（2）“自动稳定器”和相机抉择的财政政策。</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（3）货币政策的内容及其运用。</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（4</w:t>
      </w:r>
      <w:r>
        <w:rPr>
          <w:rFonts w:ascii="宋体" w:hAnsi="宋体" w:cs="Arial"/>
          <w:color w:val="000000"/>
          <w:szCs w:val="21"/>
        </w:rPr>
        <w:t>）</w:t>
      </w:r>
      <w:r>
        <w:rPr>
          <w:rFonts w:hint="eastAsia" w:ascii="宋体" w:hAnsi="宋体" w:cs="Arial"/>
          <w:color w:val="000000"/>
          <w:szCs w:val="21"/>
        </w:rPr>
        <w:t>财政政策和货币政策效果。</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（5）财政政策和货币政策的混合使用。</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（6）银行存款准备金的含义与乘数计算。</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（7）政府为宏观调控经济所能采用的货币政策工具。</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（8）现代银行体系。</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（9）货币职能与种类。</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（10）宏观经济政策的目标与工具。</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4、失业与通货膨胀理论</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掌握要点：</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（1）充分就业的含义。</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（2）通货膨胀的成因。</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（3）菲利普斯曲线。</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（4）失业的含义与种类。</w:t>
      </w:r>
    </w:p>
    <w:p>
      <w:pPr>
        <w:spacing w:line="440" w:lineRule="exact"/>
        <w:ind w:firstLine="420" w:firstLineChars="200"/>
        <w:rPr>
          <w:rFonts w:hint="eastAsia" w:ascii="宋体" w:hAnsi="宋体" w:cs="Arial"/>
          <w:color w:val="000000"/>
          <w:szCs w:val="21"/>
        </w:rPr>
      </w:pPr>
      <w:r>
        <w:rPr>
          <w:rFonts w:hint="eastAsia" w:ascii="宋体" w:hAnsi="宋体" w:cs="Arial"/>
          <w:color w:val="000000"/>
          <w:szCs w:val="21"/>
        </w:rPr>
        <w:t>（5）通货膨胀的含义与种类。</w:t>
      </w:r>
    </w:p>
    <w:p>
      <w:pPr>
        <w:spacing w:line="440" w:lineRule="exact"/>
        <w:ind w:firstLine="420" w:firstLineChars="200"/>
        <w:rPr>
          <w:rFonts w:hint="eastAsia" w:ascii="宋体" w:hAnsi="宋体" w:cs="宋体"/>
          <w:color w:val="000000"/>
          <w:szCs w:val="21"/>
        </w:rPr>
      </w:pPr>
      <w:r>
        <w:rPr>
          <w:rFonts w:hint="eastAsia" w:ascii="宋体" w:hAnsi="宋体" w:cs="Arial"/>
          <w:color w:val="000000"/>
          <w:szCs w:val="21"/>
        </w:rPr>
        <w:t>（6）</w:t>
      </w:r>
      <w:r>
        <w:rPr>
          <w:rFonts w:hint="eastAsia" w:ascii="宋体" w:hAnsi="宋体" w:cs="宋体"/>
          <w:color w:val="000000"/>
          <w:szCs w:val="21"/>
        </w:rPr>
        <w:t>通货膨胀的经济效应。</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（7）治理通货膨胀的对策。</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5、经济增长和经济周期理论</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（1）经济增长和经济发展。</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（2）影响经济增长的因素。</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（3）新古典增长模型的含义及公式。</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（4）储蓄率、人口变动对经济增长的影响。</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（5）经济增长的黄金分割律。</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（6）内生增长理论。</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（7）经济周期的含义及特征。</w:t>
      </w:r>
    </w:p>
    <w:p>
      <w:pPr>
        <w:spacing w:line="440" w:lineRule="exact"/>
        <w:ind w:firstLine="420" w:firstLineChars="200"/>
        <w:rPr>
          <w:rFonts w:hint="eastAsia" w:ascii="宋体" w:hAnsi="宋体" w:cs="Arial"/>
          <w:color w:val="000000"/>
          <w:szCs w:val="21"/>
        </w:rPr>
      </w:pPr>
      <w:r>
        <w:rPr>
          <w:rFonts w:hint="eastAsia" w:ascii="宋体" w:hAnsi="宋体" w:cs="宋体"/>
          <w:color w:val="000000"/>
          <w:szCs w:val="21"/>
        </w:rPr>
        <w:t>（8）乘数－加速数模型的基本思想。</w:t>
      </w:r>
    </w:p>
    <w:p>
      <w:pPr>
        <w:spacing w:before="31" w:beforeLines="10" w:after="31" w:afterLines="10" w:line="360" w:lineRule="auto"/>
        <w:rPr>
          <w:rFonts w:hint="eastAsia"/>
          <w:szCs w:val="21"/>
        </w:rPr>
      </w:pPr>
      <w:r>
        <w:rPr>
          <w:rFonts w:hint="eastAsia"/>
          <w:szCs w:val="21"/>
        </w:rPr>
        <w:t xml:space="preserve">   </w:t>
      </w:r>
    </w:p>
    <w:p>
      <w:pPr>
        <w:spacing w:before="31" w:beforeLines="10" w:after="31" w:afterLines="10" w:line="360" w:lineRule="auto"/>
        <w:ind w:left="420" w:leftChars="200"/>
        <w:rPr>
          <w:rFonts w:hint="eastAsia"/>
          <w:szCs w:val="21"/>
        </w:rPr>
      </w:pPr>
      <w:r>
        <w:rPr>
          <w:rFonts w:hint="eastAsia"/>
          <w:b/>
          <w:szCs w:val="21"/>
        </w:rPr>
        <w:t>参考教材或主要参考书</w:t>
      </w:r>
      <w:r>
        <w:rPr>
          <w:rFonts w:hint="eastAsia"/>
          <w:szCs w:val="21"/>
        </w:rPr>
        <w:t>：</w:t>
      </w:r>
    </w:p>
    <w:p>
      <w:pPr>
        <w:snapToGrid w:val="0"/>
        <w:spacing w:line="360" w:lineRule="auto"/>
        <w:rPr>
          <w:rFonts w:hint="eastAsia" w:ascii="宋体" w:hAnsi="宋体"/>
          <w:spacing w:val="-2"/>
          <w:szCs w:val="21"/>
        </w:rPr>
      </w:pPr>
      <w:bookmarkStart w:id="0" w:name="OLE_LINK1"/>
      <w:r>
        <w:rPr>
          <w:rFonts w:hint="eastAsia" w:ascii="宋体" w:hAnsi="宋体" w:cs="宋体"/>
          <w:color w:val="000000"/>
          <w:spacing w:val="-2"/>
          <w:szCs w:val="21"/>
        </w:rPr>
        <w:t xml:space="preserve">    </w:t>
      </w:r>
      <w:bookmarkEnd w:id="0"/>
      <w:r>
        <w:rPr>
          <w:rFonts w:hint="eastAsia" w:ascii="宋体" w:hAnsi="宋体" w:cs="宋体"/>
          <w:color w:val="000000"/>
          <w:spacing w:val="-2"/>
          <w:szCs w:val="21"/>
        </w:rPr>
        <w:t xml:space="preserve">  </w:t>
      </w:r>
      <w:r>
        <w:rPr>
          <w:rFonts w:hint="eastAsia" w:ascii="宋体" w:hAnsi="宋体" w:cs="宋体"/>
          <w:spacing w:val="-2"/>
          <w:szCs w:val="21"/>
        </w:rPr>
        <w:t>宏微观经济学：《西方经济学》（上、下册）高鸿业主编，中国人民大学出版社，第</w:t>
      </w:r>
      <w:r>
        <w:rPr>
          <w:rFonts w:hint="eastAsia" w:ascii="宋体" w:hAnsi="宋体" w:cs="宋体"/>
          <w:spacing w:val="-2"/>
          <w:szCs w:val="21"/>
          <w:lang w:val="en-US" w:eastAsia="zh-CN"/>
        </w:rPr>
        <w:t>八</w:t>
      </w:r>
      <w:r>
        <w:rPr>
          <w:rFonts w:hint="eastAsia" w:ascii="宋体" w:hAnsi="宋体" w:cs="宋体"/>
          <w:spacing w:val="-2"/>
          <w:szCs w:val="21"/>
        </w:rPr>
        <w:t>版。</w:t>
      </w:r>
    </w:p>
    <w:sectPr>
      <w:headerReference r:id="rId3" w:type="default"/>
      <w:footerReference r:id="rId4" w:type="default"/>
      <w:footerReference r:id="rId5" w:type="even"/>
      <w:pgSz w:w="11164" w:h="15485"/>
      <w:pgMar w:top="1361" w:right="1361" w:bottom="1247"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1"/>
        <w:szCs w:val="21"/>
      </w:rPr>
    </w:pPr>
    <w:r>
      <w:rPr>
        <w:rFonts w:hint="eastAsia"/>
        <w:sz w:val="21"/>
        <w:szCs w:val="21"/>
      </w:rPr>
      <w:t>第</w:t>
    </w:r>
    <w:r>
      <w:rPr>
        <w:sz w:val="21"/>
        <w:szCs w:val="21"/>
      </w:rPr>
      <w:fldChar w:fldCharType="begin"/>
    </w:r>
    <w:r>
      <w:rPr>
        <w:rStyle w:val="8"/>
        <w:sz w:val="21"/>
        <w:szCs w:val="21"/>
      </w:rPr>
      <w:instrText xml:space="preserve"> PAGE </w:instrText>
    </w:r>
    <w:r>
      <w:rPr>
        <w:sz w:val="21"/>
        <w:szCs w:val="21"/>
      </w:rPr>
      <w:fldChar w:fldCharType="separate"/>
    </w:r>
    <w:r>
      <w:rPr>
        <w:rStyle w:val="8"/>
        <w:sz w:val="21"/>
        <w:szCs w:val="21"/>
        <w:lang/>
      </w:rPr>
      <w:t>1</w:t>
    </w:r>
    <w:r>
      <w:rPr>
        <w:sz w:val="21"/>
        <w:szCs w:val="21"/>
      </w:rPr>
      <w:fldChar w:fldCharType="end"/>
    </w:r>
    <w:r>
      <w:rPr>
        <w:rFonts w:hint="eastAsia"/>
        <w:sz w:val="21"/>
        <w:szCs w:val="21"/>
      </w:rPr>
      <w:t>页，共</w:t>
    </w:r>
    <w:r>
      <w:rPr>
        <w:sz w:val="21"/>
        <w:szCs w:val="21"/>
      </w:rPr>
      <w:fldChar w:fldCharType="begin"/>
    </w:r>
    <w:r>
      <w:rPr>
        <w:rStyle w:val="8"/>
        <w:sz w:val="21"/>
        <w:szCs w:val="21"/>
      </w:rPr>
      <w:instrText xml:space="preserve"> NUMPAGES </w:instrText>
    </w:r>
    <w:r>
      <w:rPr>
        <w:sz w:val="21"/>
        <w:szCs w:val="21"/>
      </w:rPr>
      <w:fldChar w:fldCharType="separate"/>
    </w:r>
    <w:r>
      <w:rPr>
        <w:rStyle w:val="8"/>
        <w:sz w:val="21"/>
        <w:szCs w:val="21"/>
        <w:lang/>
      </w:rPr>
      <w:t>6</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7FBF9"/>
    <w:multiLevelType w:val="singleLevel"/>
    <w:tmpl w:val="5907FBF9"/>
    <w:lvl w:ilvl="0" w:tentative="0">
      <w:start w:val="1"/>
      <w:numFmt w:val="chineseCounting"/>
      <w:suff w:val="nothing"/>
      <w:lvlText w:val="%1、"/>
      <w:lvlJc w:val="left"/>
    </w:lvl>
  </w:abstractNum>
  <w:abstractNum w:abstractNumId="1">
    <w:nsid w:val="5907FC4F"/>
    <w:multiLevelType w:val="singleLevel"/>
    <w:tmpl w:val="5907FC4F"/>
    <w:lvl w:ilvl="0" w:tentative="0">
      <w:start w:val="1"/>
      <w:numFmt w:val="chineseCounting"/>
      <w:suff w:val="nothing"/>
      <w:lvlText w:val="（%1）"/>
      <w:lvlJc w:val="left"/>
    </w:lvl>
  </w:abstractNum>
  <w:abstractNum w:abstractNumId="2">
    <w:nsid w:val="5907FE2A"/>
    <w:multiLevelType w:val="singleLevel"/>
    <w:tmpl w:val="5907FE2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NDkyY2IyNmNlODdiNjg0NGI5M2ZmOGI0YWM3YjcifQ=="/>
  </w:docVars>
  <w:rsids>
    <w:rsidRoot w:val="004B65A5"/>
    <w:rsid w:val="00054E01"/>
    <w:rsid w:val="00061B4F"/>
    <w:rsid w:val="000762FE"/>
    <w:rsid w:val="00080730"/>
    <w:rsid w:val="0008607A"/>
    <w:rsid w:val="00097EDA"/>
    <w:rsid w:val="000C25FD"/>
    <w:rsid w:val="000E6981"/>
    <w:rsid w:val="001640BE"/>
    <w:rsid w:val="001848FB"/>
    <w:rsid w:val="0019067F"/>
    <w:rsid w:val="00197215"/>
    <w:rsid w:val="001B1D70"/>
    <w:rsid w:val="001C00F9"/>
    <w:rsid w:val="001C165A"/>
    <w:rsid w:val="001C2F19"/>
    <w:rsid w:val="001D6A09"/>
    <w:rsid w:val="001E149A"/>
    <w:rsid w:val="0020731D"/>
    <w:rsid w:val="0023282D"/>
    <w:rsid w:val="0024344A"/>
    <w:rsid w:val="00262AE0"/>
    <w:rsid w:val="002A5C7C"/>
    <w:rsid w:val="002C661F"/>
    <w:rsid w:val="002E0158"/>
    <w:rsid w:val="00311038"/>
    <w:rsid w:val="0033096F"/>
    <w:rsid w:val="003704C9"/>
    <w:rsid w:val="00375432"/>
    <w:rsid w:val="003852C3"/>
    <w:rsid w:val="003A4FD9"/>
    <w:rsid w:val="003B48F8"/>
    <w:rsid w:val="003C498A"/>
    <w:rsid w:val="003E6790"/>
    <w:rsid w:val="003F61C3"/>
    <w:rsid w:val="00443036"/>
    <w:rsid w:val="004523EF"/>
    <w:rsid w:val="00477338"/>
    <w:rsid w:val="004A72D7"/>
    <w:rsid w:val="004B5986"/>
    <w:rsid w:val="004B65A5"/>
    <w:rsid w:val="004D42EC"/>
    <w:rsid w:val="004F1816"/>
    <w:rsid w:val="00521CC0"/>
    <w:rsid w:val="00535C1D"/>
    <w:rsid w:val="005743BB"/>
    <w:rsid w:val="00581E66"/>
    <w:rsid w:val="00597CBE"/>
    <w:rsid w:val="005A796B"/>
    <w:rsid w:val="005B21BB"/>
    <w:rsid w:val="005E2211"/>
    <w:rsid w:val="00623CED"/>
    <w:rsid w:val="00665386"/>
    <w:rsid w:val="00696C06"/>
    <w:rsid w:val="006A0697"/>
    <w:rsid w:val="006E0495"/>
    <w:rsid w:val="006F7BB8"/>
    <w:rsid w:val="007202F4"/>
    <w:rsid w:val="0072114F"/>
    <w:rsid w:val="00741BA4"/>
    <w:rsid w:val="00786EAA"/>
    <w:rsid w:val="007B65CD"/>
    <w:rsid w:val="007D6FDB"/>
    <w:rsid w:val="007E298C"/>
    <w:rsid w:val="007F4C05"/>
    <w:rsid w:val="00830FF2"/>
    <w:rsid w:val="00864E9F"/>
    <w:rsid w:val="0087510B"/>
    <w:rsid w:val="008921C1"/>
    <w:rsid w:val="00893B85"/>
    <w:rsid w:val="008A1AA2"/>
    <w:rsid w:val="00971C90"/>
    <w:rsid w:val="00991A5E"/>
    <w:rsid w:val="009A6931"/>
    <w:rsid w:val="00A20CA9"/>
    <w:rsid w:val="00A26EEB"/>
    <w:rsid w:val="00A605E9"/>
    <w:rsid w:val="00A63AC6"/>
    <w:rsid w:val="00A8099C"/>
    <w:rsid w:val="00AB2D7C"/>
    <w:rsid w:val="00AC7996"/>
    <w:rsid w:val="00AD73EE"/>
    <w:rsid w:val="00B10A84"/>
    <w:rsid w:val="00B53FB4"/>
    <w:rsid w:val="00B54A9F"/>
    <w:rsid w:val="00B666A7"/>
    <w:rsid w:val="00B84AB9"/>
    <w:rsid w:val="00BA72B1"/>
    <w:rsid w:val="00BB1018"/>
    <w:rsid w:val="00BB42AE"/>
    <w:rsid w:val="00BE2F94"/>
    <w:rsid w:val="00C16186"/>
    <w:rsid w:val="00C176BC"/>
    <w:rsid w:val="00C404D4"/>
    <w:rsid w:val="00C5668E"/>
    <w:rsid w:val="00C65797"/>
    <w:rsid w:val="00C7337E"/>
    <w:rsid w:val="00C76400"/>
    <w:rsid w:val="00CB135C"/>
    <w:rsid w:val="00CE1668"/>
    <w:rsid w:val="00D029C7"/>
    <w:rsid w:val="00D36237"/>
    <w:rsid w:val="00D36E8D"/>
    <w:rsid w:val="00D45D43"/>
    <w:rsid w:val="00D60C8A"/>
    <w:rsid w:val="00D64E26"/>
    <w:rsid w:val="00D76B44"/>
    <w:rsid w:val="00D82DC4"/>
    <w:rsid w:val="00D94FF9"/>
    <w:rsid w:val="00DB3660"/>
    <w:rsid w:val="00DC6613"/>
    <w:rsid w:val="00DD7E22"/>
    <w:rsid w:val="00DE2F8D"/>
    <w:rsid w:val="00DE3501"/>
    <w:rsid w:val="00E1145D"/>
    <w:rsid w:val="00E31480"/>
    <w:rsid w:val="00E6651A"/>
    <w:rsid w:val="00E8034E"/>
    <w:rsid w:val="00EC6438"/>
    <w:rsid w:val="00EC6FF8"/>
    <w:rsid w:val="00EE0712"/>
    <w:rsid w:val="00EE3A0D"/>
    <w:rsid w:val="00EF1CE7"/>
    <w:rsid w:val="00F26E36"/>
    <w:rsid w:val="00F37904"/>
    <w:rsid w:val="00F70D0A"/>
    <w:rsid w:val="00F9484E"/>
    <w:rsid w:val="00FA0849"/>
    <w:rsid w:val="00FE5C11"/>
    <w:rsid w:val="00FE73E9"/>
    <w:rsid w:val="081D6CD9"/>
    <w:rsid w:val="0E3513AA"/>
    <w:rsid w:val="0F230CA0"/>
    <w:rsid w:val="1028562B"/>
    <w:rsid w:val="2209174A"/>
    <w:rsid w:val="27DF24C3"/>
    <w:rsid w:val="2BA31F0C"/>
    <w:rsid w:val="2E5C00AA"/>
    <w:rsid w:val="39054CF9"/>
    <w:rsid w:val="3C954236"/>
    <w:rsid w:val="40C9363E"/>
    <w:rsid w:val="43E96A5E"/>
    <w:rsid w:val="491E1569"/>
    <w:rsid w:val="4E0A3C16"/>
    <w:rsid w:val="52BB2CAF"/>
    <w:rsid w:val="5B314604"/>
    <w:rsid w:val="5E84534D"/>
    <w:rsid w:val="63D248BA"/>
    <w:rsid w:val="6DD56026"/>
    <w:rsid w:val="71CD35B0"/>
    <w:rsid w:val="794904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rPr>
      <w:lang w:val="en-US" w:eastAsia="zh-CN" w:bidi="ar-SA"/>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paragraph" w:styleId="9">
    <w:name w:val="List Paragraph"/>
    <w:basedOn w:val="1"/>
    <w:qFormat/>
    <w:uiPriority w:val="0"/>
    <w:pPr>
      <w:ind w:firstLine="420" w:firstLineChars="200"/>
    </w:pPr>
  </w:style>
  <w:style w:type="paragraph" w:customStyle="1" w:styleId="10">
    <w:name w:val="_Style 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jh</Company>
  <Pages>6</Pages>
  <Words>2475</Words>
  <Characters>2519</Characters>
  <Lines>19</Lines>
  <Paragraphs>5</Paragraphs>
  <TotalTime>2</TotalTime>
  <ScaleCrop>false</ScaleCrop>
  <LinksUpToDate>false</LinksUpToDate>
  <CharactersWithSpaces>2559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2011-07-26T13:33:00Z</dcterms:created>
  <dc:creator>jh</dc:creator>
  <cp:lastModifiedBy>vertesyuan</cp:lastModifiedBy>
  <cp:lastPrinted>2021-05-18T05:37:00Z</cp:lastPrinted>
  <dcterms:modified xsi:type="dcterms:W3CDTF">2023-12-05T05:06:26Z</dcterms:modified>
  <dc:title>浙江师范大学2009年硕士研究生入学考试复试</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7A3320CD3EF149A9A4211A059FF1B674_13</vt:lpwstr>
  </property>
</Properties>
</file>