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 w:firstLineChars="200"/>
        <w:rPr>
          <w:rFonts w:hint="eastAsia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2024</w:t>
      </w:r>
      <w:r>
        <w:rPr>
          <w:rFonts w:eastAsia="黑体"/>
          <w:b/>
          <w:sz w:val="32"/>
          <w:szCs w:val="32"/>
        </w:rPr>
        <w:t>年宁波大学硕士研究生招生考试</w:t>
      </w:r>
      <w:r>
        <w:rPr>
          <w:rFonts w:hint="eastAsia" w:eastAsia="黑体"/>
          <w:b/>
          <w:sz w:val="32"/>
          <w:szCs w:val="32"/>
        </w:rPr>
        <w:t>复</w:t>
      </w:r>
      <w:r>
        <w:rPr>
          <w:rFonts w:eastAsia="黑体"/>
          <w:b/>
          <w:sz w:val="32"/>
          <w:szCs w:val="32"/>
        </w:rPr>
        <w:t>试科目</w:t>
      </w:r>
    </w:p>
    <w:p>
      <w:pPr>
        <w:spacing w:line="4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eastAsia="楷体"/>
          <w:sz w:val="24"/>
        </w:rPr>
      </w:pPr>
      <w:r>
        <w:rPr>
          <w:rFonts w:eastAsia="楷体"/>
          <w:sz w:val="24"/>
        </w:rPr>
        <w:t xml:space="preserve"> </w:t>
      </w: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b/>
                <w:szCs w:val="21"/>
              </w:rPr>
            </w:pPr>
            <w:r>
              <w:rPr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法学综合</w:t>
            </w:r>
          </w:p>
        </w:tc>
      </w:tr>
    </w:tbl>
    <w:p>
      <w:pPr>
        <w:numPr>
          <w:ilvl w:val="0"/>
          <w:numId w:val="1"/>
        </w:numPr>
        <w:spacing w:before="468" w:beforeLines="150" w:after="31" w:afterLines="10" w:line="360" w:lineRule="auto"/>
        <w:rPr>
          <w:b/>
          <w:szCs w:val="21"/>
        </w:rPr>
      </w:pPr>
      <w:r>
        <w:rPr>
          <w:b/>
          <w:sz w:val="24"/>
        </w:rPr>
        <w:t>考试形式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 xml:space="preserve">试卷题型和答题要求 </w:t>
      </w:r>
      <w:r>
        <w:rPr>
          <w:b/>
          <w:szCs w:val="21"/>
        </w:rPr>
        <w:t xml:space="preserve">   </w:t>
      </w:r>
    </w:p>
    <w:p>
      <w:pPr>
        <w:pStyle w:val="17"/>
        <w:spacing w:before="31" w:beforeLines="10" w:after="31" w:afterLines="10" w:line="360" w:lineRule="auto"/>
        <w:ind w:firstLine="0" w:firstLineChars="0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 xml:space="preserve">  （</w:t>
      </w:r>
      <w:r>
        <w:rPr>
          <w:rFonts w:hint="eastAsia" w:eastAsia="新宋体"/>
          <w:b/>
          <w:szCs w:val="21"/>
        </w:rPr>
        <w:t>一</w:t>
      </w:r>
      <w:r>
        <w:rPr>
          <w:rFonts w:eastAsia="新宋体"/>
          <w:b/>
          <w:szCs w:val="21"/>
        </w:rPr>
        <w:t>）考试形式</w:t>
      </w:r>
    </w:p>
    <w:p>
      <w:pPr>
        <w:pStyle w:val="17"/>
        <w:spacing w:before="31" w:beforeLines="10" w:after="31" w:afterLines="10" w:line="360" w:lineRule="auto"/>
        <w:ind w:firstLine="315" w:firstLineChars="150"/>
        <w:rPr>
          <w:rFonts w:hint="eastAsia" w:eastAsia="新宋体"/>
          <w:szCs w:val="21"/>
        </w:rPr>
      </w:pPr>
      <w:r>
        <w:rPr>
          <w:rFonts w:eastAsia="新宋体"/>
          <w:szCs w:val="21"/>
        </w:rPr>
        <w:t>答题方式为闭卷、笔试。</w:t>
      </w:r>
    </w:p>
    <w:p>
      <w:pPr>
        <w:pStyle w:val="17"/>
        <w:spacing w:before="31" w:beforeLines="10" w:after="31" w:afterLines="10" w:line="360" w:lineRule="auto"/>
        <w:ind w:firstLine="207" w:firstLineChars="98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（</w:t>
      </w:r>
      <w:r>
        <w:rPr>
          <w:rFonts w:hint="eastAsia" w:eastAsia="新宋体"/>
          <w:b/>
          <w:szCs w:val="21"/>
        </w:rPr>
        <w:t>二</w:t>
      </w:r>
      <w:r>
        <w:rPr>
          <w:rFonts w:eastAsia="新宋体"/>
          <w:b/>
          <w:szCs w:val="21"/>
        </w:rPr>
        <w:t>）试卷题型</w:t>
      </w:r>
    </w:p>
    <w:p>
      <w:pPr>
        <w:spacing w:line="360" w:lineRule="auto"/>
        <w:ind w:firstLine="315" w:firstLineChars="1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简答题、</w:t>
      </w:r>
      <w:r>
        <w:rPr>
          <w:color w:val="000000"/>
          <w:szCs w:val="21"/>
        </w:rPr>
        <w:t>论述题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案例分析题</w:t>
      </w:r>
    </w:p>
    <w:p>
      <w:pPr>
        <w:spacing w:line="360" w:lineRule="auto"/>
        <w:ind w:firstLine="207" w:firstLineChars="98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（三）答题要求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本试卷满分为100分，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其中商法学50分，国际私法学50分，</w:t>
      </w:r>
      <w:r>
        <w:rPr>
          <w:rFonts w:ascii="Times New Roman" w:hAnsi="Times New Roman" w:eastAsia="宋体" w:cs="Times New Roman"/>
          <w:color w:val="000000"/>
          <w:szCs w:val="21"/>
        </w:rPr>
        <w:t>考试时间为120分钟。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课程考试的目的在于测试考生综合运用法学相关理论联系实际，分析现实问题的能力。</w:t>
      </w:r>
      <w:r>
        <w:rPr>
          <w:rFonts w:hint="eastAsia"/>
          <w:color w:val="000000"/>
          <w:szCs w:val="21"/>
        </w:rPr>
        <w:t>主要考察以下两方面内容：一是，学生掌握法学相关知识和理论的情况；二是，学生分析问题的逻辑思维和解决问题的实践能力。</w:t>
      </w:r>
    </w:p>
    <w:p>
      <w:pPr>
        <w:numPr>
          <w:ilvl w:val="0"/>
          <w:numId w:val="2"/>
        </w:numPr>
        <w:spacing w:before="31" w:beforeLines="10" w:after="31" w:afterLines="10" w:line="360" w:lineRule="auto"/>
        <w:rPr>
          <w:b/>
          <w:sz w:val="24"/>
        </w:rPr>
      </w:pPr>
      <w:r>
        <w:rPr>
          <w:b/>
          <w:sz w:val="24"/>
        </w:rPr>
        <w:t>考查范围</w:t>
      </w:r>
      <w:r>
        <w:rPr>
          <w:rFonts w:ascii="Times New Roman" w:hAnsi="Times New Roman" w:eastAsia="宋体" w:cs="Times New Roman"/>
          <w:b/>
          <w:sz w:val="24"/>
        </w:rPr>
        <w:t>或</w:t>
      </w:r>
      <w:r>
        <w:rPr>
          <w:rFonts w:hint="eastAsia" w:ascii="Times New Roman" w:hAnsi="Times New Roman" w:eastAsia="宋体" w:cs="Times New Roman"/>
          <w:b/>
          <w:sz w:val="24"/>
        </w:rPr>
        <w:t>考查</w:t>
      </w:r>
      <w:r>
        <w:rPr>
          <w:b/>
          <w:sz w:val="24"/>
        </w:rPr>
        <w:t>内容概要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（一）《商法学》</w:t>
      </w:r>
    </w:p>
    <w:p>
      <w:pPr>
        <w:widowControl/>
        <w:shd w:val="clear" w:color="auto" w:fill="FFFFFF"/>
        <w:spacing w:line="360" w:lineRule="auto"/>
        <w:ind w:firstLine="422" w:firstLineChars="200"/>
        <w:rPr>
          <w:rFonts w:hint="eastAsia" w:ascii="宋体" w:hAnsi="宋体" w:cs="宋体"/>
          <w:b/>
          <w:bCs/>
          <w:color w:val="333333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  <w:t>1.考查范围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考查范围包括：商法的基本概念与基本理论；商事组织法（公司法、合伙企业法、国有企业法、合作社法等）；商事行为法（商事支付法、保险法、证券法、期货交易法、商事信托法等）；商事纠纷解决机制（商事仲裁、商事诉讼、清算与破产制度、商事法律责任等）。</w:t>
      </w:r>
    </w:p>
    <w:p>
      <w:pPr>
        <w:widowControl/>
        <w:shd w:val="clear" w:color="auto" w:fill="FFFFFF"/>
        <w:spacing w:line="360" w:lineRule="auto"/>
        <w:ind w:firstLine="422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  <w:t>2.考查内容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（1）商法概念和调整对象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（2）商法的立法原则.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（3）商法的产生与发展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（4）民商事立法模式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（5）商事主体的种类</w:t>
      </w:r>
      <w:r>
        <w:rPr>
          <w:rFonts w:hint="eastAsia" w:ascii="宋体" w:hAnsi="宋体" w:cs="宋体"/>
          <w:color w:val="333333"/>
          <w:szCs w:val="21"/>
        </w:rPr>
        <w:t>与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商事能力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（6）商业名称的构成、取得与保护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（7）商事账簿的设置与保管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（8）商事登记管理的种类、程序与效力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（9）商事登记机关与企业信息公示制度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（10）商事行为的特征</w:t>
      </w:r>
      <w:r>
        <w:rPr>
          <w:rFonts w:hint="eastAsia" w:ascii="宋体" w:hAnsi="宋体" w:cs="宋体"/>
          <w:color w:val="333333"/>
          <w:szCs w:val="21"/>
        </w:rPr>
        <w:t>、分类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（11）营利制度与营业制度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（12）公司的种类与公司人格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（13）公司的资本制度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（14）公司的股份与股权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（15）公司的组织机构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（16）公司的合并与分立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（17）公司的解散与清算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（18）合伙企业的设立制度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（19）合伙企业的治理结构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（20）合伙企业的财产与责任承担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（21）合伙企业的变更、解散与清算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（22）国有企业法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（23）合作社法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（24）商事支付法（现金支付、银行卡支付、商业预付卡及第三方支付）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（25）票据基本法律制度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（26）保险制度与保险合同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（27）证券主体制度与证券市场交易制度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（28）证券监督管理与证券法律责任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（29）期货交易参与主体与期货交易规则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（30）期货市场监管与期货交易法律责任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（31）商事信托、商事信托财产制度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（32）投资基金制度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（33）商事仲裁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（34）商事审判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（35）破产制度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（36）商事法律责任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（37）近几年商法研究的热点问题、司法裁判与行政执法案例的新动向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（二）《国际私法学》</w:t>
      </w:r>
    </w:p>
    <w:p>
      <w:pPr>
        <w:widowControl/>
        <w:shd w:val="clear" w:color="auto" w:fill="FFFFFF"/>
        <w:spacing w:line="360" w:lineRule="auto"/>
        <w:ind w:firstLine="632" w:firstLineChars="300"/>
        <w:rPr>
          <w:rFonts w:hint="eastAsia" w:ascii="宋体" w:hAnsi="宋体" w:cs="宋体"/>
          <w:b/>
          <w:bCs/>
          <w:color w:val="333333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  <w:t>1.考查范围</w:t>
      </w:r>
    </w:p>
    <w:p>
      <w:pPr>
        <w:spacing w:before="31" w:beforeLines="10" w:after="31" w:afterLines="10" w:line="360" w:lineRule="auto"/>
        <w:ind w:firstLine="525" w:firstLineChars="2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考查范围包括：</w:t>
      </w:r>
      <w:r>
        <w:rPr>
          <w:rFonts w:hint="eastAsia" w:ascii="宋体" w:hAnsi="宋体"/>
          <w:color w:val="000000"/>
          <w:szCs w:val="21"/>
        </w:rPr>
        <w:t>国际私法学的基本理论；国际民商事法律适用的一般问题；国际民商事法律关系主体的国际私法问题；国际民商事法律关系的法律适用；国际与区际民商事争议解决等。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2.</w:t>
      </w:r>
      <w:r>
        <w:rPr>
          <w:rFonts w:hint="eastAsia"/>
          <w:b/>
          <w:color w:val="000000"/>
          <w:szCs w:val="21"/>
        </w:rPr>
        <w:t>考查内容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（1）国际私法与国际私法学的地位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（2）国际私法的调整对象与调整方法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（3）国际民商事法律冲突的含义及其产生的原因与条件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（4）国际民商事法律适用的理论与方法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（5）国际私法的范围、体系、渊源以及性质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（6）冲突规范的相关问题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（7）准据法确定与适用中的一般问题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（8）外国人的民商事法律地位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（9）国际民商事法律关系主体的权利能力与行为能力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（10）婚姻家庭的法律适用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（11）继承的法律适用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（12）物权的法律适用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3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）合同的法律适用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4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）非合同之债的法律适用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（15）知识产权的法律适用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6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）商事关系的法律适用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7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）国际民商事争议解决机制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8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）国际民事诉讼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（1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9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）国际商事仲裁与调解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20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）区际民商事法律冲突及区际民商事司法协助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（2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1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）中国国际私法的立法与司法实践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四、</w:t>
      </w:r>
      <w:r>
        <w:rPr>
          <w:rFonts w:hint="eastAsia"/>
          <w:b/>
          <w:sz w:val="24"/>
        </w:rPr>
        <w:t>各方向参考教材或主要参考书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color w:val="333333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1.《商法学》编写组：《商法学》（马克思主义理论研究和建设工程重点教材），高等教育出版社，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val="en-US" w:eastAsia="zh-CN" w:bidi="ar"/>
        </w:rPr>
        <w:t>2022年版。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．《国际私法学》编写组：《国际私法学》（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  <w:t>马克思主义理论研究和建设工程重点教材</w:t>
      </w:r>
      <w:r>
        <w:rPr>
          <w:rFonts w:hint="eastAsia"/>
          <w:szCs w:val="21"/>
        </w:rPr>
        <w:t>），高等教育出版社20</w:t>
      </w:r>
      <w:r>
        <w:rPr>
          <w:szCs w:val="21"/>
        </w:rPr>
        <w:t>23</w:t>
      </w:r>
      <w:r>
        <w:rPr>
          <w:rFonts w:hint="eastAsia"/>
          <w:szCs w:val="21"/>
        </w:rPr>
        <w:t>年版。</w:t>
      </w:r>
    </w:p>
    <w:p>
      <w:pPr>
        <w:spacing w:line="360" w:lineRule="auto"/>
        <w:ind w:firstLine="210" w:firstLineChars="100"/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</w:p>
    <w:p>
      <w:pPr>
        <w:spacing w:line="360" w:lineRule="auto"/>
        <w:ind w:firstLine="211" w:firstLineChars="100"/>
        <w:rPr>
          <w:b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pgNumType w:start="2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2.05pt;width:10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EXX78jPAQAAmgMAAA4AAABkcnMvZTJvRG9jLnhtbK1TzY7TMBC+I/EO&#10;lu/UaauiJWq6AlWLkBAgLTyA69iNJf/J4zbpC8AbcOLCnefqczB20i4slz1wScbjyTff981kfTtY&#10;Q44ygvauofNZRYl0wrfa7Rv65fPdixtKIHHXcuOdbOhJAr3dPH+27kMtF77zppWRIIiDug8N7VIK&#10;NWMgOmk5zHyQDi+Vj5YnPMY9ayPvEd0atqiql6z3sQ3RCwmA2e14SSfE+BRAr5QWcuvFwUqXRtQo&#10;DU8oCTodgG4KW6WkSB+VApmIaSgqTeWJTTDe5SfbrHm9jzx0WkwU+FMoPNJkuXbY9Aq15YmTQ9T/&#10;QFktogev0kx4y0YhxRFUMa8eeXPf8SCLFrQawtV0+H+w4sPxUyS6xU2gxHGLAz9//3b+8ev88yuZ&#10;V4tVdqgPUGPhfcDSNLzxQ66e8oDJLHxQ0eY3SiJ4j/6erv7KIRGRP1ouX92sKBF4NV8tq2VBZw8f&#10;hwjprfSW5KChEcdXXOXH95CwIZZeSnIv5++0MWWExv2VwMKcYZn5yDBHadgNE+2db0+opsfJN9Th&#10;olNi3jk0Ni/JJYiXYHcJDiHqfVe2KPeD8PqQkEThljuMsFNjHFmhPK1X3ok/z6Xq4Zfa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e10z0AAAAAMBAAAPAAAAAAAAAAEAIAAAACIAAABkcnMvZG93&#10;bnJldi54bWxQSwECFAAUAAAACACHTuJARdfvyM8BAACa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1"/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20052"/>
    <w:rsid w:val="0002681C"/>
    <w:rsid w:val="00054E01"/>
    <w:rsid w:val="00061B4F"/>
    <w:rsid w:val="000762FE"/>
    <w:rsid w:val="00080730"/>
    <w:rsid w:val="000838BB"/>
    <w:rsid w:val="0008607A"/>
    <w:rsid w:val="00097EDA"/>
    <w:rsid w:val="000C25FD"/>
    <w:rsid w:val="000D2DDE"/>
    <w:rsid w:val="000E6981"/>
    <w:rsid w:val="00115C7F"/>
    <w:rsid w:val="0013638B"/>
    <w:rsid w:val="001640BE"/>
    <w:rsid w:val="00174B04"/>
    <w:rsid w:val="001848FB"/>
    <w:rsid w:val="0019067F"/>
    <w:rsid w:val="00196D66"/>
    <w:rsid w:val="00197215"/>
    <w:rsid w:val="001B1D70"/>
    <w:rsid w:val="001C09AA"/>
    <w:rsid w:val="001C165A"/>
    <w:rsid w:val="001C2F19"/>
    <w:rsid w:val="001E149A"/>
    <w:rsid w:val="00205F8A"/>
    <w:rsid w:val="0020731D"/>
    <w:rsid w:val="00217694"/>
    <w:rsid w:val="0023282D"/>
    <w:rsid w:val="002373C4"/>
    <w:rsid w:val="0024344A"/>
    <w:rsid w:val="00293036"/>
    <w:rsid w:val="002A5C7C"/>
    <w:rsid w:val="002B0A38"/>
    <w:rsid w:val="002C30AD"/>
    <w:rsid w:val="002E0158"/>
    <w:rsid w:val="002F04C7"/>
    <w:rsid w:val="002F08FB"/>
    <w:rsid w:val="002F34A2"/>
    <w:rsid w:val="0030719F"/>
    <w:rsid w:val="00311038"/>
    <w:rsid w:val="00316017"/>
    <w:rsid w:val="0033096F"/>
    <w:rsid w:val="00345155"/>
    <w:rsid w:val="00345FCE"/>
    <w:rsid w:val="003704C9"/>
    <w:rsid w:val="003739D9"/>
    <w:rsid w:val="00375432"/>
    <w:rsid w:val="0038108F"/>
    <w:rsid w:val="003852C3"/>
    <w:rsid w:val="003A4FD9"/>
    <w:rsid w:val="003B48F8"/>
    <w:rsid w:val="003B6546"/>
    <w:rsid w:val="003C498A"/>
    <w:rsid w:val="003E0714"/>
    <w:rsid w:val="003E3373"/>
    <w:rsid w:val="003E6790"/>
    <w:rsid w:val="003F61C3"/>
    <w:rsid w:val="003F715E"/>
    <w:rsid w:val="00407375"/>
    <w:rsid w:val="00437300"/>
    <w:rsid w:val="00443036"/>
    <w:rsid w:val="004523EF"/>
    <w:rsid w:val="00465299"/>
    <w:rsid w:val="004722B9"/>
    <w:rsid w:val="00477338"/>
    <w:rsid w:val="004A72D7"/>
    <w:rsid w:val="004B2777"/>
    <w:rsid w:val="004B65A5"/>
    <w:rsid w:val="004C4A59"/>
    <w:rsid w:val="004D42EC"/>
    <w:rsid w:val="004D5EFF"/>
    <w:rsid w:val="004E034D"/>
    <w:rsid w:val="004F1816"/>
    <w:rsid w:val="005038D2"/>
    <w:rsid w:val="00506565"/>
    <w:rsid w:val="00521CC0"/>
    <w:rsid w:val="00535C1D"/>
    <w:rsid w:val="005743BB"/>
    <w:rsid w:val="00581E66"/>
    <w:rsid w:val="00597CBE"/>
    <w:rsid w:val="005A0260"/>
    <w:rsid w:val="005A796B"/>
    <w:rsid w:val="005B21BB"/>
    <w:rsid w:val="005E2211"/>
    <w:rsid w:val="00607B38"/>
    <w:rsid w:val="00634631"/>
    <w:rsid w:val="00647608"/>
    <w:rsid w:val="00657168"/>
    <w:rsid w:val="00665535"/>
    <w:rsid w:val="00687A00"/>
    <w:rsid w:val="00696C06"/>
    <w:rsid w:val="006A0697"/>
    <w:rsid w:val="006C34EF"/>
    <w:rsid w:val="006E0495"/>
    <w:rsid w:val="006F25B6"/>
    <w:rsid w:val="006F7BB8"/>
    <w:rsid w:val="007108F4"/>
    <w:rsid w:val="0071644A"/>
    <w:rsid w:val="0072114F"/>
    <w:rsid w:val="007300D8"/>
    <w:rsid w:val="00735719"/>
    <w:rsid w:val="00741BA4"/>
    <w:rsid w:val="007621DA"/>
    <w:rsid w:val="007822B2"/>
    <w:rsid w:val="00786EAA"/>
    <w:rsid w:val="00794818"/>
    <w:rsid w:val="007D6FDB"/>
    <w:rsid w:val="007E298C"/>
    <w:rsid w:val="007E4BDF"/>
    <w:rsid w:val="007F4C05"/>
    <w:rsid w:val="0080125E"/>
    <w:rsid w:val="00830FF2"/>
    <w:rsid w:val="00864E9F"/>
    <w:rsid w:val="0087510B"/>
    <w:rsid w:val="008921C1"/>
    <w:rsid w:val="00893B85"/>
    <w:rsid w:val="008A1AA2"/>
    <w:rsid w:val="008B3DC2"/>
    <w:rsid w:val="008C010F"/>
    <w:rsid w:val="008D48B3"/>
    <w:rsid w:val="008D5F7A"/>
    <w:rsid w:val="008E46D7"/>
    <w:rsid w:val="008F045C"/>
    <w:rsid w:val="009122E8"/>
    <w:rsid w:val="0091683A"/>
    <w:rsid w:val="00945303"/>
    <w:rsid w:val="00954741"/>
    <w:rsid w:val="00971C90"/>
    <w:rsid w:val="009808F0"/>
    <w:rsid w:val="00991A5E"/>
    <w:rsid w:val="009A0DA1"/>
    <w:rsid w:val="009A6931"/>
    <w:rsid w:val="009B5DCE"/>
    <w:rsid w:val="009D247D"/>
    <w:rsid w:val="00A20CA9"/>
    <w:rsid w:val="00A26EEB"/>
    <w:rsid w:val="00A501D9"/>
    <w:rsid w:val="00A605E9"/>
    <w:rsid w:val="00A63AC6"/>
    <w:rsid w:val="00A652A5"/>
    <w:rsid w:val="00A70BA0"/>
    <w:rsid w:val="00A8099C"/>
    <w:rsid w:val="00A872FA"/>
    <w:rsid w:val="00A93A99"/>
    <w:rsid w:val="00AB2D7C"/>
    <w:rsid w:val="00AD73EE"/>
    <w:rsid w:val="00AF4042"/>
    <w:rsid w:val="00B10A84"/>
    <w:rsid w:val="00B11220"/>
    <w:rsid w:val="00B15D8E"/>
    <w:rsid w:val="00B32474"/>
    <w:rsid w:val="00B53FB4"/>
    <w:rsid w:val="00B54A9F"/>
    <w:rsid w:val="00B80671"/>
    <w:rsid w:val="00B84AB9"/>
    <w:rsid w:val="00BB42AE"/>
    <w:rsid w:val="00BC4673"/>
    <w:rsid w:val="00BD0860"/>
    <w:rsid w:val="00BD215D"/>
    <w:rsid w:val="00BD5C44"/>
    <w:rsid w:val="00BE2F94"/>
    <w:rsid w:val="00BF0A01"/>
    <w:rsid w:val="00C14E9B"/>
    <w:rsid w:val="00C176BC"/>
    <w:rsid w:val="00C404D4"/>
    <w:rsid w:val="00C4741D"/>
    <w:rsid w:val="00C5668E"/>
    <w:rsid w:val="00C65797"/>
    <w:rsid w:val="00C65C4D"/>
    <w:rsid w:val="00C7337E"/>
    <w:rsid w:val="00C73EC1"/>
    <w:rsid w:val="00C76400"/>
    <w:rsid w:val="00C81207"/>
    <w:rsid w:val="00C82261"/>
    <w:rsid w:val="00C83A41"/>
    <w:rsid w:val="00C954F6"/>
    <w:rsid w:val="00CA2C12"/>
    <w:rsid w:val="00CB0F8D"/>
    <w:rsid w:val="00CB135C"/>
    <w:rsid w:val="00CB6D6C"/>
    <w:rsid w:val="00CD7D0D"/>
    <w:rsid w:val="00CE1668"/>
    <w:rsid w:val="00CE5483"/>
    <w:rsid w:val="00CF6936"/>
    <w:rsid w:val="00D029C7"/>
    <w:rsid w:val="00D17B79"/>
    <w:rsid w:val="00D23716"/>
    <w:rsid w:val="00D36237"/>
    <w:rsid w:val="00D45D43"/>
    <w:rsid w:val="00D60C8A"/>
    <w:rsid w:val="00D66D6E"/>
    <w:rsid w:val="00D7415C"/>
    <w:rsid w:val="00D76B44"/>
    <w:rsid w:val="00D82DC4"/>
    <w:rsid w:val="00D94FF9"/>
    <w:rsid w:val="00DB3660"/>
    <w:rsid w:val="00DC1D8A"/>
    <w:rsid w:val="00DC63E4"/>
    <w:rsid w:val="00DD7E22"/>
    <w:rsid w:val="00DD7EAD"/>
    <w:rsid w:val="00DE2F8D"/>
    <w:rsid w:val="00E0542C"/>
    <w:rsid w:val="00E11099"/>
    <w:rsid w:val="00E1145D"/>
    <w:rsid w:val="00E17822"/>
    <w:rsid w:val="00E202A4"/>
    <w:rsid w:val="00E31480"/>
    <w:rsid w:val="00E460C3"/>
    <w:rsid w:val="00E54B43"/>
    <w:rsid w:val="00E61C2B"/>
    <w:rsid w:val="00E65720"/>
    <w:rsid w:val="00E6651A"/>
    <w:rsid w:val="00E8034E"/>
    <w:rsid w:val="00EB527C"/>
    <w:rsid w:val="00EB53E4"/>
    <w:rsid w:val="00EB570B"/>
    <w:rsid w:val="00EC6FF8"/>
    <w:rsid w:val="00ED4915"/>
    <w:rsid w:val="00ED4BAA"/>
    <w:rsid w:val="00EE3A0D"/>
    <w:rsid w:val="00EF1524"/>
    <w:rsid w:val="00EF1CE7"/>
    <w:rsid w:val="00EF3B6E"/>
    <w:rsid w:val="00F11022"/>
    <w:rsid w:val="00F2497B"/>
    <w:rsid w:val="00F26E36"/>
    <w:rsid w:val="00F37904"/>
    <w:rsid w:val="00F54816"/>
    <w:rsid w:val="00F70D0A"/>
    <w:rsid w:val="00F72BA8"/>
    <w:rsid w:val="00F76DF7"/>
    <w:rsid w:val="00F77104"/>
    <w:rsid w:val="00F811D5"/>
    <w:rsid w:val="00F91E8A"/>
    <w:rsid w:val="00F9484E"/>
    <w:rsid w:val="00FA0849"/>
    <w:rsid w:val="00FA0BDC"/>
    <w:rsid w:val="00FA1E22"/>
    <w:rsid w:val="00FD045F"/>
    <w:rsid w:val="00FD4321"/>
    <w:rsid w:val="00FE5C11"/>
    <w:rsid w:val="00FE73E9"/>
    <w:rsid w:val="081D6CD9"/>
    <w:rsid w:val="09385FF3"/>
    <w:rsid w:val="0B2F5DBF"/>
    <w:rsid w:val="0E3513AA"/>
    <w:rsid w:val="0E7D46A7"/>
    <w:rsid w:val="147D3C0F"/>
    <w:rsid w:val="16AD300F"/>
    <w:rsid w:val="2209174A"/>
    <w:rsid w:val="24193CE9"/>
    <w:rsid w:val="27DF24C3"/>
    <w:rsid w:val="2BA31F0C"/>
    <w:rsid w:val="2D7E50EB"/>
    <w:rsid w:val="2E5C00AA"/>
    <w:rsid w:val="30E33D2C"/>
    <w:rsid w:val="360A067C"/>
    <w:rsid w:val="36D071A7"/>
    <w:rsid w:val="39054CF9"/>
    <w:rsid w:val="3AB40E65"/>
    <w:rsid w:val="3C954236"/>
    <w:rsid w:val="40C9363E"/>
    <w:rsid w:val="422E08A8"/>
    <w:rsid w:val="43B862F8"/>
    <w:rsid w:val="43E96A5E"/>
    <w:rsid w:val="47920839"/>
    <w:rsid w:val="491E1569"/>
    <w:rsid w:val="4D294070"/>
    <w:rsid w:val="4E0A3C16"/>
    <w:rsid w:val="52BB2CAF"/>
    <w:rsid w:val="558C4400"/>
    <w:rsid w:val="63D248BA"/>
    <w:rsid w:val="66272FC8"/>
    <w:rsid w:val="663D4CCA"/>
    <w:rsid w:val="68686BD0"/>
    <w:rsid w:val="6DD56026"/>
    <w:rsid w:val="71CD35B0"/>
    <w:rsid w:val="734B3290"/>
    <w:rsid w:val="76432944"/>
    <w:rsid w:val="7949045E"/>
    <w:rsid w:val="79A57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uiPriority w:val="0"/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字符"/>
    <w:link w:val="3"/>
    <w:uiPriority w:val="0"/>
    <w:rPr>
      <w:kern w:val="2"/>
      <w:sz w:val="21"/>
      <w:szCs w:val="24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主题 字符"/>
    <w:link w:val="7"/>
    <w:uiPriority w:val="0"/>
    <w:rPr>
      <w:b/>
      <w:bCs/>
      <w:kern w:val="2"/>
      <w:sz w:val="21"/>
      <w:szCs w:val="24"/>
    </w:rPr>
  </w:style>
  <w:style w:type="character" w:customStyle="1" w:styleId="16">
    <w:name w:val="apple-converted-space"/>
    <w:uiPriority w:val="0"/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_Style 1"/>
    <w:basedOn w:val="1"/>
    <w:qFormat/>
    <w:uiPriority w:val="0"/>
    <w:pPr>
      <w:ind w:firstLine="420" w:firstLineChars="200"/>
    </w:pPr>
  </w:style>
  <w:style w:type="character" w:customStyle="1" w:styleId="19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1409</Words>
  <Characters>1469</Characters>
  <Lines>11</Lines>
  <Paragraphs>3</Paragraphs>
  <TotalTime>83</TotalTime>
  <ScaleCrop>false</ScaleCrop>
  <LinksUpToDate>false</LinksUpToDate>
  <CharactersWithSpaces>1480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2018-07-23T07:09:00Z</dcterms:created>
  <dc:creator>jh</dc:creator>
  <cp:lastModifiedBy>vertesyuan</cp:lastModifiedBy>
  <cp:lastPrinted>2023-06-27T06:17:00Z</cp:lastPrinted>
  <dcterms:modified xsi:type="dcterms:W3CDTF">2023-12-05T05:07:16Z</dcterms:modified>
  <dc:title>浙江师范大学2009年硕士研究生入学考试复试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DBD0C1E1C939458EBCE74DFD737B4844_13</vt:lpwstr>
  </property>
</Properties>
</file>