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  <w:bookmarkStart w:id="0" w:name="_GoBack"/>
      <w:bookmarkEnd w:id="0"/>
    </w:p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jc w:val="center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b/>
          <w:color w:val="auto"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color w:val="auto"/>
          <w:sz w:val="52"/>
          <w:szCs w:val="52"/>
        </w:rPr>
      </w:pPr>
      <w:r>
        <w:rPr>
          <w:rFonts w:hint="eastAsia" w:ascii="黑体" w:hAnsi="华文中宋" w:eastAsia="黑体"/>
          <w:b/>
          <w:color w:val="auto"/>
          <w:sz w:val="52"/>
          <w:szCs w:val="52"/>
        </w:rPr>
        <w:t>《教育研究方法》科目大纲</w:t>
      </w:r>
    </w:p>
    <w:p>
      <w:pPr>
        <w:widowControl/>
        <w:jc w:val="center"/>
        <w:rPr>
          <w:rFonts w:hint="eastAsia" w:ascii="黑体" w:hAnsi="宋体" w:eastAsia="黑体"/>
          <w:color w:val="auto"/>
          <w:sz w:val="30"/>
          <w:szCs w:val="30"/>
        </w:rPr>
      </w:pPr>
      <w:r>
        <w:rPr>
          <w:rFonts w:hint="eastAsia" w:ascii="黑体" w:hAnsi="宋体" w:eastAsia="黑体"/>
          <w:color w:val="auto"/>
          <w:sz w:val="30"/>
          <w:szCs w:val="30"/>
        </w:rPr>
        <w:t>(科目代码：</w:t>
      </w:r>
      <w:r>
        <w:rPr>
          <w:rFonts w:hint="eastAsia" w:ascii="黑体" w:hAnsi="宋体" w:eastAsia="黑体"/>
          <w:color w:val="auto"/>
          <w:sz w:val="30"/>
          <w:szCs w:val="30"/>
          <w:lang w:val="en-US" w:eastAsia="zh-CN"/>
        </w:rPr>
        <w:t>539</w:t>
      </w:r>
      <w:r>
        <w:rPr>
          <w:rFonts w:hint="eastAsia" w:ascii="黑体" w:hAnsi="宋体" w:eastAsia="黑体"/>
          <w:color w:val="auto"/>
          <w:sz w:val="30"/>
          <w:szCs w:val="30"/>
        </w:rPr>
        <w:t>)</w:t>
      </w: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学院名称(盖章)：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   教育技术学院    </w:t>
      </w: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color w:val="auto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学院负责人</w:t>
      </w:r>
      <w:r>
        <w:rPr>
          <w:rFonts w:hint="eastAsia" w:ascii="仿宋_GB2312" w:hAnsi="宋体" w:eastAsia="仿宋_GB2312"/>
          <w:color w:val="auto"/>
          <w:w w:val="90"/>
          <w:sz w:val="32"/>
          <w:szCs w:val="32"/>
        </w:rPr>
        <w:t>(签字)：</w:t>
      </w:r>
      <w:r>
        <w:rPr>
          <w:rFonts w:hint="eastAsia" w:ascii="仿宋_GB2312" w:hAnsi="宋体" w:eastAsia="仿宋_GB2312"/>
          <w:color w:val="auto"/>
          <w:w w:val="90"/>
          <w:sz w:val="32"/>
          <w:szCs w:val="32"/>
          <w:u w:val="single"/>
        </w:rPr>
        <w:t xml:space="preserve">                     </w:t>
      </w:r>
    </w:p>
    <w:p>
      <w:pPr>
        <w:widowControl/>
        <w:spacing w:line="800" w:lineRule="exact"/>
        <w:jc w:val="left"/>
        <w:rPr>
          <w:rFonts w:hint="eastAsia" w:ascii="仿宋_GB2312" w:hAnsi="宋体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编  制  时  间：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 202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年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月 1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日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rPr>
          <w:rFonts w:hint="eastAsia" w:ascii="黑体" w:hAnsi="华文中宋" w:eastAsia="黑体"/>
          <w:b/>
          <w:color w:val="auto"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color w:val="auto"/>
          <w:sz w:val="30"/>
          <w:szCs w:val="30"/>
        </w:rPr>
      </w:pPr>
      <w:r>
        <w:rPr>
          <w:rFonts w:hint="eastAsia" w:ascii="黑体" w:hAnsi="华文中宋" w:eastAsia="黑体"/>
          <w:b/>
          <w:color w:val="auto"/>
          <w:sz w:val="30"/>
          <w:szCs w:val="30"/>
        </w:rPr>
        <w:t>《教育研究方法》科目大纲</w:t>
      </w:r>
    </w:p>
    <w:p>
      <w:pPr>
        <w:widowControl/>
        <w:jc w:val="center"/>
        <w:rPr>
          <w:rFonts w:hint="eastAsia" w:ascii="黑体" w:hAnsi="宋体" w:eastAsia="黑体"/>
          <w:color w:val="auto"/>
          <w:sz w:val="24"/>
        </w:rPr>
      </w:pPr>
      <w:r>
        <w:rPr>
          <w:rFonts w:hint="eastAsia" w:ascii="黑体" w:hAnsi="宋体" w:eastAsia="黑体"/>
          <w:b/>
          <w:color w:val="auto"/>
          <w:sz w:val="48"/>
          <w:szCs w:val="48"/>
        </w:rPr>
        <w:t xml:space="preserve"> </w:t>
      </w:r>
      <w:r>
        <w:rPr>
          <w:rFonts w:hint="eastAsia" w:ascii="黑体" w:hAnsi="宋体" w:eastAsia="黑体"/>
          <w:color w:val="auto"/>
          <w:sz w:val="24"/>
        </w:rPr>
        <w:t>（科目代码：</w:t>
      </w:r>
      <w:r>
        <w:rPr>
          <w:rFonts w:hint="eastAsia" w:ascii="黑体" w:hAnsi="宋体" w:eastAsia="黑体"/>
          <w:color w:val="auto"/>
          <w:sz w:val="24"/>
          <w:lang w:val="en-US" w:eastAsia="zh-CN"/>
        </w:rPr>
        <w:t>539</w:t>
      </w:r>
      <w:r>
        <w:rPr>
          <w:rFonts w:hint="eastAsia" w:ascii="黑体" w:hAnsi="宋体" w:eastAsia="黑体"/>
          <w:color w:val="auto"/>
          <w:sz w:val="24"/>
        </w:rPr>
        <w:t>）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color w:val="auto"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一、考核要求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1.要求考生系统掌握教育研究在教育理论与实践发展中的作用;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color w:val="auto"/>
          <w:szCs w:val="21"/>
        </w:rPr>
      </w:pPr>
      <w:r>
        <w:rPr>
          <w:rFonts w:ascii="仿宋_GB2312" w:hAnsi="宋体" w:eastAsia="仿宋_GB2312"/>
          <w:color w:val="auto"/>
          <w:szCs w:val="21"/>
        </w:rPr>
        <w:t>2.</w:t>
      </w:r>
      <w:r>
        <w:rPr>
          <w:rFonts w:hint="eastAsia" w:ascii="仿宋_GB2312" w:hAnsi="宋体" w:eastAsia="仿宋_GB2312"/>
          <w:color w:val="auto"/>
          <w:szCs w:val="21"/>
        </w:rPr>
        <w:t>要求考生系统掌握教育研究的核心概念及研究过程；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color w:val="auto"/>
          <w:szCs w:val="21"/>
        </w:rPr>
      </w:pPr>
      <w:r>
        <w:rPr>
          <w:rFonts w:ascii="仿宋_GB2312" w:hAnsi="宋体" w:eastAsia="仿宋_GB2312"/>
          <w:color w:val="auto"/>
          <w:szCs w:val="21"/>
        </w:rPr>
        <w:t>3.</w:t>
      </w:r>
      <w:r>
        <w:rPr>
          <w:rFonts w:hint="eastAsia" w:ascii="仿宋_GB2312" w:hAnsi="宋体" w:eastAsia="仿宋_GB2312"/>
          <w:color w:val="auto"/>
          <w:szCs w:val="21"/>
        </w:rPr>
        <w:t>要求考生了解教育研究各组成部分的功能及相互关系；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4.要求考生了解不同研究方法的适用范围和使用方法；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ascii="仿宋_GB2312" w:hAnsi="宋体" w:eastAsia="仿宋_GB2312"/>
          <w:color w:val="auto"/>
          <w:szCs w:val="21"/>
        </w:rPr>
        <w:t>5.</w:t>
      </w:r>
      <w:r>
        <w:rPr>
          <w:rFonts w:hint="eastAsia" w:ascii="仿宋_GB2312" w:hAnsi="宋体" w:eastAsia="仿宋_GB2312"/>
          <w:color w:val="auto"/>
          <w:szCs w:val="21"/>
        </w:rPr>
        <w:t>要求考生能够</w:t>
      </w:r>
      <w:r>
        <w:rPr>
          <w:rFonts w:ascii="仿宋_GB2312" w:hAnsi="宋体" w:eastAsia="仿宋_GB2312"/>
          <w:color w:val="auto"/>
          <w:szCs w:val="21"/>
        </w:rPr>
        <w:t>进行研究设计，研究数据的分析与解读。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color w:val="auto"/>
          <w:szCs w:val="21"/>
        </w:rPr>
      </w:pPr>
      <w:r>
        <w:rPr>
          <w:rFonts w:ascii="仿宋_GB2312" w:hAnsi="宋体" w:eastAsia="仿宋_GB2312"/>
          <w:color w:val="auto"/>
          <w:szCs w:val="21"/>
        </w:rPr>
        <w:t>6</w:t>
      </w:r>
      <w:r>
        <w:rPr>
          <w:rFonts w:hint="eastAsia" w:ascii="仿宋_GB2312" w:hAnsi="宋体" w:eastAsia="仿宋_GB2312"/>
          <w:color w:val="auto"/>
          <w:szCs w:val="21"/>
        </w:rPr>
        <w:t>.要求考生了解教育研究方法前沿动态。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二、考核评价目标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1.知道教育技术</w:t>
      </w:r>
      <w:r>
        <w:rPr>
          <w:rFonts w:ascii="仿宋_GB2312" w:hAnsi="宋体" w:eastAsia="仿宋_GB2312"/>
          <w:color w:val="auto"/>
          <w:szCs w:val="21"/>
        </w:rPr>
        <w:t>研究的</w:t>
      </w:r>
      <w:r>
        <w:rPr>
          <w:rFonts w:hint="eastAsia" w:ascii="仿宋_GB2312" w:hAnsi="宋体" w:eastAsia="仿宋_GB2312"/>
          <w:color w:val="auto"/>
          <w:szCs w:val="21"/>
        </w:rPr>
        <w:t>基本流程和</w:t>
      </w:r>
      <w:r>
        <w:rPr>
          <w:rFonts w:ascii="仿宋_GB2312" w:hAnsi="宋体" w:eastAsia="仿宋_GB2312"/>
          <w:color w:val="auto"/>
          <w:szCs w:val="21"/>
        </w:rPr>
        <w:t>方法</w:t>
      </w:r>
      <w:r>
        <w:rPr>
          <w:rFonts w:hint="eastAsia" w:ascii="仿宋_GB2312" w:hAnsi="宋体" w:eastAsia="仿宋_GB2312"/>
          <w:color w:val="auto"/>
          <w:szCs w:val="21"/>
        </w:rPr>
        <w:t>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2.能够灵活运用不同的</w:t>
      </w:r>
      <w:r>
        <w:rPr>
          <w:rFonts w:ascii="仿宋_GB2312" w:hAnsi="宋体" w:eastAsia="仿宋_GB2312"/>
          <w:color w:val="auto"/>
          <w:szCs w:val="21"/>
        </w:rPr>
        <w:t>研究方法进行研究</w:t>
      </w:r>
      <w:r>
        <w:rPr>
          <w:rFonts w:hint="eastAsia" w:ascii="仿宋_GB2312" w:hAnsi="宋体" w:eastAsia="仿宋_GB2312"/>
          <w:color w:val="auto"/>
          <w:szCs w:val="21"/>
        </w:rPr>
        <w:t>实践。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ascii="仿宋_GB2312" w:hAnsi="宋体" w:eastAsia="仿宋_GB2312"/>
          <w:color w:val="auto"/>
          <w:szCs w:val="21"/>
        </w:rPr>
        <w:t>3</w:t>
      </w:r>
      <w:r>
        <w:rPr>
          <w:rFonts w:hint="eastAsia" w:ascii="仿宋_GB2312" w:hAnsi="宋体" w:eastAsia="仿宋_GB2312"/>
          <w:color w:val="auto"/>
          <w:szCs w:val="21"/>
        </w:rPr>
        <w:t>.</w:t>
      </w:r>
      <w:r>
        <w:rPr>
          <w:rFonts w:ascii="仿宋_GB2312" w:hAnsi="宋体" w:eastAsia="仿宋_GB2312"/>
          <w:color w:val="auto"/>
          <w:szCs w:val="21"/>
        </w:rPr>
        <w:t>能够</w:t>
      </w:r>
      <w:r>
        <w:rPr>
          <w:rFonts w:hint="eastAsia" w:ascii="仿宋_GB2312" w:hAnsi="宋体" w:eastAsia="仿宋_GB2312"/>
          <w:color w:val="auto"/>
          <w:szCs w:val="21"/>
        </w:rPr>
        <w:t>将</w:t>
      </w:r>
      <w:r>
        <w:rPr>
          <w:rFonts w:ascii="仿宋_GB2312" w:hAnsi="宋体" w:eastAsia="仿宋_GB2312"/>
          <w:color w:val="auto"/>
          <w:szCs w:val="21"/>
        </w:rPr>
        <w:t>现实问题转化为研究问题。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三、考核内容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 xml:space="preserve">    第一章 概述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科学研究、教育研究、教育技术学研究的内涵、目的；研究方法、教育技术学研究方法的特征、作用；教育技术学研究的类型。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 xml:space="preserve">    第二章 研究选题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教育技术学的研究任务；教育技术学的研究内容；教育技术学研究热点、研究问题的来源、选题方法及原则。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 xml:space="preserve">    第三章 文献研究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文献法的概念</w:t>
      </w:r>
      <w:r>
        <w:rPr>
          <w:rFonts w:ascii="仿宋_GB2312" w:hAnsi="宋体" w:eastAsia="仿宋_GB2312"/>
          <w:color w:val="auto"/>
          <w:szCs w:val="21"/>
        </w:rPr>
        <w:t>、基本过程</w:t>
      </w:r>
      <w:r>
        <w:rPr>
          <w:rFonts w:hint="eastAsia" w:ascii="仿宋_GB2312" w:hAnsi="宋体" w:eastAsia="仿宋_GB2312"/>
          <w:color w:val="auto"/>
          <w:szCs w:val="21"/>
        </w:rPr>
        <w:t>；文献来源及检索工具的使用；文献分析工具的使用；文献综述的结构、规范；文献综述的写作方法和</w:t>
      </w:r>
      <w:r>
        <w:rPr>
          <w:rFonts w:ascii="仿宋_GB2312" w:hAnsi="宋体" w:eastAsia="仿宋_GB2312"/>
          <w:color w:val="auto"/>
          <w:szCs w:val="21"/>
        </w:rPr>
        <w:t>常见</w:t>
      </w:r>
      <w:r>
        <w:rPr>
          <w:rFonts w:hint="eastAsia" w:ascii="仿宋_GB2312" w:hAnsi="宋体" w:eastAsia="仿宋_GB2312"/>
          <w:color w:val="auto"/>
          <w:szCs w:val="21"/>
        </w:rPr>
        <w:t>问题</w:t>
      </w:r>
      <w:r>
        <w:rPr>
          <w:rFonts w:ascii="仿宋_GB2312" w:hAnsi="宋体" w:eastAsia="仿宋_GB2312"/>
          <w:color w:val="auto"/>
          <w:szCs w:val="21"/>
        </w:rPr>
        <w:t>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 xml:space="preserve">    第四章 内容分析法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内容分析法的内涵、</w:t>
      </w:r>
      <w:r>
        <w:rPr>
          <w:rFonts w:ascii="仿宋_GB2312" w:hAnsi="宋体" w:eastAsia="仿宋_GB2312"/>
          <w:color w:val="auto"/>
          <w:szCs w:val="21"/>
        </w:rPr>
        <w:t>特征；</w:t>
      </w:r>
      <w:r>
        <w:rPr>
          <w:rFonts w:hint="eastAsia" w:ascii="仿宋_GB2312" w:hAnsi="宋体" w:eastAsia="仿宋_GB2312"/>
          <w:color w:val="auto"/>
          <w:szCs w:val="21"/>
        </w:rPr>
        <w:t>内容分析法的研究对象；内容分析法的应用模式；内容分析中类目表格的设计；内容分析评判记录方法；内容分析信度分析方法；内容分析数据分析方法；内容分析报告撰写方法及规范等。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 xml:space="preserve">    第五章  调查</w:t>
      </w:r>
      <w:r>
        <w:rPr>
          <w:rFonts w:ascii="仿宋_GB2312" w:hAnsi="宋体" w:eastAsia="仿宋_GB2312"/>
          <w:color w:val="auto"/>
          <w:szCs w:val="21"/>
        </w:rPr>
        <w:t>研究法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调查研究的定义</w:t>
      </w:r>
      <w:r>
        <w:rPr>
          <w:rFonts w:ascii="仿宋_GB2312" w:hAnsi="宋体" w:eastAsia="仿宋_GB2312"/>
          <w:color w:val="auto"/>
          <w:szCs w:val="21"/>
        </w:rPr>
        <w:t>；</w:t>
      </w:r>
      <w:r>
        <w:rPr>
          <w:rFonts w:hint="eastAsia" w:ascii="仿宋_GB2312" w:hAnsi="宋体" w:eastAsia="仿宋_GB2312"/>
          <w:color w:val="auto"/>
          <w:szCs w:val="21"/>
        </w:rPr>
        <w:t>调查研究的基本流程；调查研究方案设计；调查研究工具的设计与开发；抽样的概念及常用的抽样方法；调研数据分析方法等。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 xml:space="preserve">    第六章  行动研究法</w:t>
      </w:r>
    </w:p>
    <w:p>
      <w:pPr>
        <w:widowControl/>
        <w:spacing w:line="520" w:lineRule="exact"/>
        <w:ind w:firstLine="315" w:firstLineChars="150"/>
        <w:jc w:val="left"/>
        <w:rPr>
          <w:rFonts w:ascii="仿宋_GB2312" w:hAnsi="宋体" w:eastAsia="仿宋_GB2312"/>
          <w:color w:val="auto"/>
          <w:szCs w:val="21"/>
        </w:rPr>
      </w:pPr>
      <w:r>
        <w:rPr>
          <w:rFonts w:ascii="仿宋_GB2312" w:hAnsi="宋体" w:eastAsia="仿宋_GB2312"/>
          <w:color w:val="auto"/>
          <w:szCs w:val="21"/>
        </w:rPr>
        <w:t></w:t>
      </w:r>
      <w:r>
        <w:rPr>
          <w:rFonts w:hint="eastAsia" w:ascii="仿宋_GB2312" w:hAnsi="宋体" w:eastAsia="仿宋_GB2312"/>
          <w:color w:val="auto"/>
          <w:szCs w:val="21"/>
        </w:rPr>
        <w:t>行动研究的定义</w:t>
      </w:r>
      <w:r>
        <w:rPr>
          <w:rFonts w:ascii="仿宋_GB2312" w:hAnsi="宋体" w:eastAsia="仿宋_GB2312"/>
          <w:color w:val="auto"/>
          <w:szCs w:val="21"/>
        </w:rPr>
        <w:t>及特征；</w:t>
      </w:r>
      <w:r>
        <w:rPr>
          <w:rFonts w:hint="eastAsia" w:ascii="仿宋_GB2312" w:hAnsi="宋体" w:eastAsia="仿宋_GB2312"/>
          <w:color w:val="auto"/>
          <w:szCs w:val="21"/>
        </w:rPr>
        <w:t>行动研究的基本流程；行动研究方案设计；行动研究中的常见问题。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 xml:space="preserve">    第七章 实验研究</w:t>
      </w:r>
    </w:p>
    <w:p>
      <w:pPr>
        <w:widowControl/>
        <w:spacing w:line="520" w:lineRule="exact"/>
        <w:ind w:firstLine="315" w:firstLineChars="150"/>
        <w:jc w:val="left"/>
        <w:rPr>
          <w:rFonts w:ascii="仿宋_GB2312" w:hAnsi="宋体" w:eastAsia="仿宋_GB2312"/>
          <w:color w:val="auto"/>
          <w:szCs w:val="21"/>
        </w:rPr>
      </w:pPr>
      <w:r>
        <w:rPr>
          <w:rFonts w:ascii="仿宋_GB2312" w:hAnsi="宋体" w:eastAsia="仿宋_GB2312"/>
          <w:color w:val="auto"/>
          <w:szCs w:val="21"/>
        </w:rPr>
        <w:t></w:t>
      </w:r>
      <w:r>
        <w:rPr>
          <w:rFonts w:hint="eastAsia" w:ascii="仿宋_GB2312" w:hAnsi="宋体" w:eastAsia="仿宋_GB2312"/>
          <w:color w:val="auto"/>
          <w:szCs w:val="21"/>
        </w:rPr>
        <w:t>实验研究的特点</w:t>
      </w:r>
      <w:r>
        <w:rPr>
          <w:rFonts w:ascii="仿宋_GB2312" w:hAnsi="宋体" w:eastAsia="仿宋_GB2312"/>
          <w:color w:val="auto"/>
          <w:szCs w:val="21"/>
        </w:rPr>
        <w:t>及适用范围；</w:t>
      </w:r>
      <w:r>
        <w:rPr>
          <w:rFonts w:hint="eastAsia" w:ascii="仿宋_GB2312" w:hAnsi="宋体" w:eastAsia="仿宋_GB2312"/>
          <w:color w:val="auto"/>
          <w:szCs w:val="21"/>
        </w:rPr>
        <w:t>实验研究的基本流程；实验</w:t>
      </w:r>
      <w:r>
        <w:rPr>
          <w:rFonts w:ascii="仿宋_GB2312" w:hAnsi="宋体" w:eastAsia="仿宋_GB2312"/>
          <w:color w:val="auto"/>
          <w:szCs w:val="21"/>
        </w:rPr>
        <w:t>变量的类型；</w:t>
      </w:r>
      <w:r>
        <w:rPr>
          <w:rFonts w:hint="eastAsia" w:ascii="仿宋_GB2312" w:hAnsi="宋体" w:eastAsia="仿宋_GB2312"/>
          <w:color w:val="auto"/>
          <w:szCs w:val="21"/>
        </w:rPr>
        <w:t>实验研究设计。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 xml:space="preserve">    第八章 质的研究</w:t>
      </w:r>
    </w:p>
    <w:p>
      <w:pPr>
        <w:widowControl/>
        <w:spacing w:line="520" w:lineRule="exact"/>
        <w:ind w:firstLine="420" w:firstLineChars="200"/>
        <w:jc w:val="left"/>
        <w:rPr>
          <w:rFonts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质的研究的特点</w:t>
      </w:r>
      <w:r>
        <w:rPr>
          <w:rFonts w:ascii="仿宋_GB2312" w:hAnsi="宋体" w:eastAsia="仿宋_GB2312"/>
          <w:color w:val="auto"/>
          <w:szCs w:val="21"/>
        </w:rPr>
        <w:t>和适用范围；</w:t>
      </w:r>
      <w:r>
        <w:rPr>
          <w:rFonts w:hint="eastAsia" w:ascii="仿宋_GB2312" w:hAnsi="宋体" w:eastAsia="仿宋_GB2312"/>
          <w:color w:val="auto"/>
          <w:szCs w:val="21"/>
        </w:rPr>
        <w:t>质的研究的基本流程；质的研究方案设计；质的研究资料收集中</w:t>
      </w:r>
      <w:r>
        <w:rPr>
          <w:rFonts w:ascii="仿宋_GB2312" w:hAnsi="宋体" w:eastAsia="仿宋_GB2312"/>
          <w:color w:val="auto"/>
          <w:szCs w:val="21"/>
        </w:rPr>
        <w:t>的常见问题；</w:t>
      </w:r>
      <w:r>
        <w:rPr>
          <w:rFonts w:hint="eastAsia" w:ascii="仿宋_GB2312" w:hAnsi="宋体" w:eastAsia="仿宋_GB2312"/>
          <w:color w:val="auto"/>
          <w:szCs w:val="21"/>
        </w:rPr>
        <w:t>常用质的研究工具（</w:t>
      </w:r>
      <w:r>
        <w:rPr>
          <w:rFonts w:ascii="仿宋_GB2312" w:hAnsi="宋体" w:eastAsia="仿宋_GB2312"/>
          <w:color w:val="auto"/>
          <w:szCs w:val="21"/>
        </w:rPr>
        <w:t>Nvivo</w:t>
      </w:r>
      <w:r>
        <w:rPr>
          <w:rFonts w:hint="eastAsia" w:ascii="仿宋_GB2312" w:hAnsi="宋体" w:eastAsia="仿宋_GB2312"/>
          <w:color w:val="auto"/>
          <w:szCs w:val="21"/>
        </w:rPr>
        <w:t>等）。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 xml:space="preserve">    第九章 最新研究方法</w:t>
      </w:r>
    </w:p>
    <w:p>
      <w:pPr>
        <w:widowControl/>
        <w:spacing w:line="520" w:lineRule="exact"/>
        <w:ind w:firstLine="420" w:firstLineChars="200"/>
        <w:jc w:val="left"/>
        <w:rPr>
          <w:rFonts w:hint="eastAsia" w:ascii="仿宋_GB2312" w:hAnsi="宋体" w:eastAsia="仿宋_GB2312"/>
          <w:color w:val="auto"/>
          <w:szCs w:val="21"/>
        </w:rPr>
      </w:pPr>
      <w:r>
        <w:rPr>
          <w:rFonts w:hint="eastAsia" w:ascii="仿宋_GB2312" w:hAnsi="宋体" w:eastAsia="仿宋_GB2312"/>
          <w:color w:val="auto"/>
          <w:szCs w:val="21"/>
        </w:rPr>
        <w:t>最新教育研究方法及适用范围。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color w:val="auto"/>
          <w:szCs w:val="21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四、参考书目</w:t>
      </w:r>
    </w:p>
    <w:p>
      <w:pPr>
        <w:widowControl/>
        <w:spacing w:line="520" w:lineRule="exact"/>
        <w:ind w:firstLine="315" w:firstLineChars="150"/>
        <w:jc w:val="left"/>
        <w:rPr>
          <w:rFonts w:hint="eastAsia" w:ascii="仿宋_GB2312" w:hAnsi="宋体" w:eastAsia="仿宋_GB2312"/>
          <w:color w:val="auto"/>
          <w:szCs w:val="21"/>
          <w:lang w:val="en-US" w:eastAsia="zh-CN"/>
        </w:rPr>
      </w:pPr>
      <w:r>
        <w:rPr>
          <w:rFonts w:hint="eastAsia" w:ascii="仿宋_GB2312" w:hAnsi="宋体" w:eastAsia="仿宋_GB2312"/>
          <w:color w:val="auto"/>
          <w:szCs w:val="21"/>
        </w:rPr>
        <w:t>1．谢幼如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Cs w:val="21"/>
        </w:rPr>
        <w:t>李克东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color w:val="auto"/>
          <w:szCs w:val="21"/>
        </w:rPr>
        <w:t>《教育技术学研究方法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基础</w:t>
      </w:r>
      <w:r>
        <w:rPr>
          <w:rFonts w:hint="eastAsia" w:ascii="仿宋_GB2312" w:hAnsi="宋体" w:eastAsia="仿宋_GB2312"/>
          <w:color w:val="auto"/>
          <w:szCs w:val="21"/>
        </w:rPr>
        <w:t>》（第二版），高等教育出版社，201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Cs w:val="21"/>
        </w:rPr>
        <w:t>年</w:t>
      </w: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.</w:t>
      </w: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Tk5MGFlMzdmMDY2OTAyYWU1YTVjOWNkODQ4MjgifQ=="/>
  </w:docVars>
  <w:rsids>
    <w:rsidRoot w:val="000D6ED4"/>
    <w:rsid w:val="0000380C"/>
    <w:rsid w:val="00004932"/>
    <w:rsid w:val="00007BA9"/>
    <w:rsid w:val="00013E9B"/>
    <w:rsid w:val="00044AE2"/>
    <w:rsid w:val="0006541E"/>
    <w:rsid w:val="0007385F"/>
    <w:rsid w:val="00083C81"/>
    <w:rsid w:val="00091441"/>
    <w:rsid w:val="000D6ED4"/>
    <w:rsid w:val="000E1D3E"/>
    <w:rsid w:val="001020AE"/>
    <w:rsid w:val="00146049"/>
    <w:rsid w:val="0014776D"/>
    <w:rsid w:val="00155BA2"/>
    <w:rsid w:val="00164192"/>
    <w:rsid w:val="00167D1B"/>
    <w:rsid w:val="00170EB9"/>
    <w:rsid w:val="001806D8"/>
    <w:rsid w:val="00182132"/>
    <w:rsid w:val="00197A98"/>
    <w:rsid w:val="001A0467"/>
    <w:rsid w:val="001C22D9"/>
    <w:rsid w:val="001C7511"/>
    <w:rsid w:val="001E0440"/>
    <w:rsid w:val="002036CF"/>
    <w:rsid w:val="0023652D"/>
    <w:rsid w:val="0025437A"/>
    <w:rsid w:val="0026441C"/>
    <w:rsid w:val="00267D8B"/>
    <w:rsid w:val="00273F90"/>
    <w:rsid w:val="00290800"/>
    <w:rsid w:val="002C4794"/>
    <w:rsid w:val="002F6A71"/>
    <w:rsid w:val="00325F5E"/>
    <w:rsid w:val="0033603B"/>
    <w:rsid w:val="003421EF"/>
    <w:rsid w:val="003633A7"/>
    <w:rsid w:val="003668C9"/>
    <w:rsid w:val="0038500D"/>
    <w:rsid w:val="00386394"/>
    <w:rsid w:val="00392FB9"/>
    <w:rsid w:val="003A031C"/>
    <w:rsid w:val="003A3BA3"/>
    <w:rsid w:val="003B188A"/>
    <w:rsid w:val="003B4B0B"/>
    <w:rsid w:val="003C1B67"/>
    <w:rsid w:val="003C32E0"/>
    <w:rsid w:val="003E41AC"/>
    <w:rsid w:val="003F31B5"/>
    <w:rsid w:val="00402A54"/>
    <w:rsid w:val="0041366D"/>
    <w:rsid w:val="004224D3"/>
    <w:rsid w:val="00455716"/>
    <w:rsid w:val="004717E3"/>
    <w:rsid w:val="00492467"/>
    <w:rsid w:val="00495883"/>
    <w:rsid w:val="004C6481"/>
    <w:rsid w:val="004C7D61"/>
    <w:rsid w:val="004F75E0"/>
    <w:rsid w:val="00513C1C"/>
    <w:rsid w:val="00523D60"/>
    <w:rsid w:val="0054549D"/>
    <w:rsid w:val="00553215"/>
    <w:rsid w:val="00594C99"/>
    <w:rsid w:val="005B2D5C"/>
    <w:rsid w:val="006061BD"/>
    <w:rsid w:val="00613EEC"/>
    <w:rsid w:val="00616B04"/>
    <w:rsid w:val="00631D48"/>
    <w:rsid w:val="006326D0"/>
    <w:rsid w:val="00634F8E"/>
    <w:rsid w:val="00637E83"/>
    <w:rsid w:val="00655891"/>
    <w:rsid w:val="00681475"/>
    <w:rsid w:val="006901E6"/>
    <w:rsid w:val="006A473C"/>
    <w:rsid w:val="006B05FE"/>
    <w:rsid w:val="006D3598"/>
    <w:rsid w:val="006E244F"/>
    <w:rsid w:val="007060FE"/>
    <w:rsid w:val="00723A76"/>
    <w:rsid w:val="0072728D"/>
    <w:rsid w:val="00733966"/>
    <w:rsid w:val="007348AF"/>
    <w:rsid w:val="00734B0A"/>
    <w:rsid w:val="00746265"/>
    <w:rsid w:val="00755D09"/>
    <w:rsid w:val="00761025"/>
    <w:rsid w:val="00762E21"/>
    <w:rsid w:val="0076708D"/>
    <w:rsid w:val="00797615"/>
    <w:rsid w:val="007B33DE"/>
    <w:rsid w:val="007C5682"/>
    <w:rsid w:val="008276F3"/>
    <w:rsid w:val="0084180B"/>
    <w:rsid w:val="00852F58"/>
    <w:rsid w:val="00856BA6"/>
    <w:rsid w:val="00865272"/>
    <w:rsid w:val="00885DCA"/>
    <w:rsid w:val="008A58E7"/>
    <w:rsid w:val="008C6F74"/>
    <w:rsid w:val="008D5D24"/>
    <w:rsid w:val="008D68CC"/>
    <w:rsid w:val="008F6763"/>
    <w:rsid w:val="00933CC0"/>
    <w:rsid w:val="00952326"/>
    <w:rsid w:val="00952556"/>
    <w:rsid w:val="009529C1"/>
    <w:rsid w:val="009551A6"/>
    <w:rsid w:val="00973D1F"/>
    <w:rsid w:val="0098483A"/>
    <w:rsid w:val="009B1082"/>
    <w:rsid w:val="009C37F6"/>
    <w:rsid w:val="009C7DCD"/>
    <w:rsid w:val="009D0E7E"/>
    <w:rsid w:val="009F1A5E"/>
    <w:rsid w:val="00A0221A"/>
    <w:rsid w:val="00A06F93"/>
    <w:rsid w:val="00A10AC3"/>
    <w:rsid w:val="00A26125"/>
    <w:rsid w:val="00A309FD"/>
    <w:rsid w:val="00A75EA1"/>
    <w:rsid w:val="00AC4E68"/>
    <w:rsid w:val="00AD5410"/>
    <w:rsid w:val="00AF6C9F"/>
    <w:rsid w:val="00AF7CF1"/>
    <w:rsid w:val="00B06B89"/>
    <w:rsid w:val="00B139D5"/>
    <w:rsid w:val="00B17978"/>
    <w:rsid w:val="00B452AA"/>
    <w:rsid w:val="00B70BD7"/>
    <w:rsid w:val="00B73EA8"/>
    <w:rsid w:val="00BB3E9C"/>
    <w:rsid w:val="00BB65ED"/>
    <w:rsid w:val="00BC05D2"/>
    <w:rsid w:val="00BC3328"/>
    <w:rsid w:val="00BF5591"/>
    <w:rsid w:val="00BF6641"/>
    <w:rsid w:val="00C21877"/>
    <w:rsid w:val="00C41C30"/>
    <w:rsid w:val="00C66B39"/>
    <w:rsid w:val="00CA040C"/>
    <w:rsid w:val="00CB4474"/>
    <w:rsid w:val="00CC42B2"/>
    <w:rsid w:val="00CD102E"/>
    <w:rsid w:val="00CF10CB"/>
    <w:rsid w:val="00D031A6"/>
    <w:rsid w:val="00D3025A"/>
    <w:rsid w:val="00D31C1E"/>
    <w:rsid w:val="00D44923"/>
    <w:rsid w:val="00D5499A"/>
    <w:rsid w:val="00D57976"/>
    <w:rsid w:val="00D73D5C"/>
    <w:rsid w:val="00D825EC"/>
    <w:rsid w:val="00DC03C7"/>
    <w:rsid w:val="00DD6B3C"/>
    <w:rsid w:val="00DE0779"/>
    <w:rsid w:val="00E14F29"/>
    <w:rsid w:val="00E16F6A"/>
    <w:rsid w:val="00E22AB7"/>
    <w:rsid w:val="00E41668"/>
    <w:rsid w:val="00E47803"/>
    <w:rsid w:val="00E55169"/>
    <w:rsid w:val="00E57B25"/>
    <w:rsid w:val="00EA6982"/>
    <w:rsid w:val="00ED1639"/>
    <w:rsid w:val="00ED6B93"/>
    <w:rsid w:val="00EE477E"/>
    <w:rsid w:val="00F01531"/>
    <w:rsid w:val="00F44BFB"/>
    <w:rsid w:val="00F5630A"/>
    <w:rsid w:val="00F8294F"/>
    <w:rsid w:val="00F934B6"/>
    <w:rsid w:val="00FA1859"/>
    <w:rsid w:val="00FA563C"/>
    <w:rsid w:val="00FB4F53"/>
    <w:rsid w:val="00FC45A2"/>
    <w:rsid w:val="00FC5859"/>
    <w:rsid w:val="00FC6656"/>
    <w:rsid w:val="00FC789D"/>
    <w:rsid w:val="053F74A5"/>
    <w:rsid w:val="057F6DC9"/>
    <w:rsid w:val="06D579A3"/>
    <w:rsid w:val="0ADD081A"/>
    <w:rsid w:val="167F131F"/>
    <w:rsid w:val="49B414E5"/>
    <w:rsid w:val="534178D7"/>
    <w:rsid w:val="55226FC0"/>
    <w:rsid w:val="6F7A5868"/>
    <w:rsid w:val="78665A43"/>
    <w:rsid w:val="7AEF10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眉 Char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999宝藏网</Company>
  <Pages>3</Pages>
  <Words>897</Words>
  <Characters>922</Characters>
  <Lines>8</Lines>
  <Paragraphs>2</Paragraphs>
  <TotalTime>0</TotalTime>
  <ScaleCrop>false</ScaleCrop>
  <LinksUpToDate>false</LinksUpToDate>
  <CharactersWithSpaces>1039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2020-09-02T03:06:00Z</dcterms:created>
  <dc:creator>Admin</dc:creator>
  <cp:lastModifiedBy>vertesyuan</cp:lastModifiedBy>
  <cp:lastPrinted>2010-09-25T07:47:00Z</cp:lastPrinted>
  <dcterms:modified xsi:type="dcterms:W3CDTF">2023-12-06T01:43:31Z</dcterms:modified>
  <dc:title>关于做好全日制研究生入学考试考试科目大纲编制工作的通知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AE9CD5CD82A34CBEBA1C30C23CBD5AAB_13</vt:lpwstr>
  </property>
</Properties>
</file>