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Cs w:val="28"/>
        </w:rPr>
      </w:pPr>
      <w:bookmarkStart w:id="0" w:name="_GoBack"/>
      <w:bookmarkEnd w:id="0"/>
    </w:p>
    <w:p>
      <w:pPr>
        <w:ind w:firstLine="2521" w:firstLineChars="90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836《中国文化通论》考试大纲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b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28"/>
          <w:szCs w:val="28"/>
          <w:lang w:val="en-US" w:eastAsia="zh-CN"/>
        </w:rPr>
        <w:t>一、参考书目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教育部高教司组编，张岱年、方克立主编，《中国文化概论》（修订版），北京：北京师范大学出版社，2020年版</w:t>
      </w:r>
    </w:p>
    <w:p>
      <w:pPr>
        <w:tabs>
          <w:tab w:val="left" w:pos="8190"/>
        </w:tabs>
        <w:spacing w:before="156" w:beforeLines="50" w:after="156" w:afterLines="50" w:line="360" w:lineRule="auto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28"/>
          <w:szCs w:val="28"/>
          <w:highlight w:val="yellow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考试大纲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绪论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了解“广义文化”与 “狭义文化”的区别、内涵。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第一章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  <w:t>了解地理环境对中国文化的作用与影响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了解地理环境对中国文化形成和延续的影响；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地理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环境对开放与封闭的影响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了解地理环境对中国文化多样性的影响。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第二章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  <w:t>了解</w:t>
      </w: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  <w:t>中国文化根植的经济基础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了解中国传统社会农耕经济的特点；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了解中国传统社会农耕经济与中国文化的关系。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第三章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了解宗法制度；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了解中国君主专制制度的特点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第四章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  <w:t>了解</w:t>
      </w: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  <w:lang w:val="en-US" w:eastAsia="zh-CN"/>
        </w:rPr>
        <w:t>中国传统文化发展历程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了解各个中国传统文化发展的各个时期的特征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了解“百家争鸣”及其学派特征；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了解明清文化中所出现的新因素。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第五章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中华各民族文化的交流融合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了解中国文化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与外域文化的交汇。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第六章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了解汉字的发展历史；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了解汉语、汉字和中国文化的关系。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第七章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了解中国古代科学的成就；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了解中国古代科技的特点；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了解中国近代科技发展迟滞的原因。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第八章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了解中国古代教育思想的特色；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了解中国古代的教学思想。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第九章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了解中国古代文学的成就；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了解中国古代文学的人文色彩和理性精神。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了解中国古代艺术的成就；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了解中国古代艺术的类型。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第十一章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了解中国古代史学的成就；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了解中国古代史学的优良传统。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第十二章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了解中华民族的传统美德；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了解孔、孟的道德规范体系。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第十三章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了解儒家学说的入世精神；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了解道教对中国文化的影响。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第十四章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了解中国哲学的思想资源和思想传统；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了解原始儒家的精神与理论。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第十五章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了解中国文化的伦理类型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了解中国文化的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特点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第十六章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了解中国文化基本精神的主体内容；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了解中国文化基本精神的功能。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highlight w:val="none"/>
        </w:rPr>
        <w:t>第十七章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了解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中国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文化的价值系统</w:t>
      </w: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</w:rPr>
        <w:t>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28"/>
          <w:szCs w:val="28"/>
          <w:highlight w:val="none"/>
          <w:lang w:val="en-US" w:eastAsia="zh-CN"/>
        </w:rPr>
        <w:t>第十八章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了解中国传统文化向近代转变的历程、动因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了解中国近代文化发展的正确方向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28"/>
          <w:szCs w:val="28"/>
          <w:highlight w:val="none"/>
          <w:lang w:val="en-US" w:eastAsia="zh-CN"/>
        </w:rPr>
        <w:t>第十九章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  <w:t>了解改革开放与80年代文化热</w:t>
      </w: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Cs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F37E3"/>
    <w:multiLevelType w:val="singleLevel"/>
    <w:tmpl w:val="53BF37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9D"/>
    <w:rsid w:val="002B2E59"/>
    <w:rsid w:val="002E0D9D"/>
    <w:rsid w:val="0035655E"/>
    <w:rsid w:val="003C695A"/>
    <w:rsid w:val="005F414D"/>
    <w:rsid w:val="007541BC"/>
    <w:rsid w:val="0092334A"/>
    <w:rsid w:val="00AB2469"/>
    <w:rsid w:val="00AE5E8B"/>
    <w:rsid w:val="00AE7BF1"/>
    <w:rsid w:val="00BF2A4F"/>
    <w:rsid w:val="00C31E08"/>
    <w:rsid w:val="00D11599"/>
    <w:rsid w:val="029B30F4"/>
    <w:rsid w:val="0A420DCA"/>
    <w:rsid w:val="4AF4716B"/>
    <w:rsid w:val="4D7D581F"/>
    <w:rsid w:val="66B129AB"/>
    <w:rsid w:val="726B7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uiPriority w:val="0"/>
    <w:rPr>
      <w:kern w:val="2"/>
      <w:sz w:val="18"/>
      <w:szCs w:val="18"/>
    </w:rPr>
  </w:style>
  <w:style w:type="character" w:customStyle="1" w:styleId="7">
    <w:name w:val="页脚 Char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88</Words>
  <Characters>504</Characters>
  <Lines>4</Lines>
  <Paragraphs>1</Paragraphs>
  <TotalTime>15</TotalTime>
  <ScaleCrop>false</ScaleCrop>
  <LinksUpToDate>false</LinksUpToDate>
  <CharactersWithSpaces>591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2008-08-29T06:01:00Z</dcterms:created>
  <dc:creator>HaHa</dc:creator>
  <cp:lastModifiedBy>vertesyuan</cp:lastModifiedBy>
  <dcterms:modified xsi:type="dcterms:W3CDTF">2023-12-05T09:07:12Z</dcterms:modified>
  <dc:title>“中国文化概论”复习大纲（研究生入学考试）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87D96301B74B4C7FB50E5597C0715F53_13</vt:lpwstr>
  </property>
</Properties>
</file>