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山东建筑大学</w:t>
      </w:r>
    </w:p>
    <w:p>
      <w:pPr>
        <w:spacing w:after="240" w:line="300" w:lineRule="auto"/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0"/>
          <w:szCs w:val="30"/>
        </w:rPr>
        <w:t>研究生入学考试《计量经济学》考试大纲</w:t>
      </w:r>
    </w:p>
    <w:p>
      <w:pPr>
        <w:adjustRightInd w:val="0"/>
        <w:snapToGrid w:val="0"/>
        <w:spacing w:after="240" w:line="360" w:lineRule="auto"/>
        <w:ind w:firstLine="420"/>
        <w:rPr>
          <w:rFonts w:ascii="宋体" w:hAnsi="宋体"/>
          <w:b/>
          <w:sz w:val="24"/>
        </w:rPr>
      </w:pPr>
      <w:r>
        <w:rPr>
          <w:b/>
          <w:bCs/>
          <w:sz w:val="24"/>
        </w:rPr>
        <w:t>一、</w:t>
      </w: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（一）线性回归模型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了解总体回归方程和样本回归方程；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掌握古典回归模型的假定；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掌握OLS</w:t>
      </w:r>
      <w:r>
        <w:rPr>
          <w:rFonts w:hint="eastAsia" w:ascii="宋体" w:hAnsi="宋体"/>
          <w:sz w:val="24"/>
        </w:rPr>
        <w:t>估计法的基本原理和估计量的推导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bCs/>
          <w:sz w:val="24"/>
        </w:rPr>
        <w:t>参数的估计误差与置信区间</w:t>
      </w:r>
      <w:r>
        <w:rPr>
          <w:rFonts w:hint="eastAsia" w:ascii="宋体" w:hAnsi="宋体"/>
          <w:bCs/>
          <w:sz w:val="24"/>
        </w:rPr>
        <w:t>的计算</w:t>
      </w:r>
      <w:r>
        <w:rPr>
          <w:rFonts w:ascii="宋体" w:hAnsi="宋体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5. 掌握回归模型统计显著性检验的意义和方法；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6. 掌握回归模型</w:t>
      </w:r>
      <w:r>
        <w:rPr>
          <w:rFonts w:hint="eastAsia" w:ascii="宋体" w:hAnsi="宋体"/>
          <w:bCs/>
          <w:sz w:val="24"/>
        </w:rPr>
        <w:t>的</w:t>
      </w:r>
      <w:r>
        <w:rPr>
          <w:rFonts w:ascii="宋体" w:hAnsi="宋体"/>
          <w:bCs/>
          <w:sz w:val="24"/>
        </w:rPr>
        <w:t>拟合优度的计算；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7. 掌握回归模型参数意义的解释</w:t>
      </w:r>
      <w:r>
        <w:rPr>
          <w:rFonts w:hint="eastAsia" w:ascii="宋体" w:hAnsi="宋体"/>
          <w:bCs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（二）非线性回归模型的线性化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掌握刻画</w:t>
      </w:r>
      <w:r>
        <w:rPr>
          <w:rFonts w:ascii="宋体" w:hAnsi="宋体"/>
          <w:sz w:val="24"/>
        </w:rPr>
        <w:t>变量间的非线性关系</w:t>
      </w:r>
      <w:r>
        <w:rPr>
          <w:rFonts w:hint="eastAsia" w:ascii="宋体" w:hAnsi="宋体"/>
          <w:sz w:val="24"/>
        </w:rPr>
        <w:t>的方法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掌握非线性转化为线性</w:t>
      </w:r>
      <w:r>
        <w:rPr>
          <w:rFonts w:hint="eastAsia" w:ascii="宋体" w:hAnsi="宋体"/>
          <w:sz w:val="24"/>
        </w:rPr>
        <w:t>模型</w:t>
      </w:r>
      <w:r>
        <w:rPr>
          <w:rFonts w:ascii="宋体" w:hAnsi="宋体"/>
          <w:sz w:val="24"/>
        </w:rPr>
        <w:t>的方法。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（三）大样本OLS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了解大样本理论的思想—大数定理与中心极限定理；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理解大样本OLS的假定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掌握大样本OLS的性质。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（四）异方差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了解异方差的</w:t>
      </w:r>
      <w:r>
        <w:rPr>
          <w:rFonts w:hint="eastAsia" w:ascii="宋体" w:hAnsi="宋体"/>
          <w:sz w:val="24"/>
        </w:rPr>
        <w:t>定义</w:t>
      </w:r>
      <w:r>
        <w:rPr>
          <w:rFonts w:ascii="宋体" w:hAnsi="宋体"/>
          <w:sz w:val="24"/>
        </w:rPr>
        <w:t>、产生原因和影响；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掌握异方差的检验和修正方法。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（五）自相关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了解自相关的</w:t>
      </w:r>
      <w:r>
        <w:rPr>
          <w:rFonts w:hint="eastAsia" w:ascii="宋体" w:hAnsi="宋体"/>
          <w:sz w:val="24"/>
        </w:rPr>
        <w:t>定义</w:t>
      </w:r>
      <w:r>
        <w:rPr>
          <w:rFonts w:ascii="宋体" w:hAnsi="宋体"/>
          <w:sz w:val="24"/>
        </w:rPr>
        <w:t>、产生原因和影响；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掌握自相关的检验和修正方法。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（六）多重共线性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了解多重共线性的</w:t>
      </w:r>
      <w:r>
        <w:rPr>
          <w:rFonts w:hint="eastAsia" w:ascii="宋体" w:hAnsi="宋体"/>
          <w:sz w:val="24"/>
        </w:rPr>
        <w:t>定义</w:t>
      </w:r>
      <w:r>
        <w:rPr>
          <w:rFonts w:ascii="宋体" w:hAnsi="宋体"/>
          <w:sz w:val="24"/>
        </w:rPr>
        <w:t>、产生原因和影响；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掌握多重共线性的检验和修正方法。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（七）模型设定与数据问题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 理解</w:t>
      </w:r>
      <w:r>
        <w:rPr>
          <w:rFonts w:hint="eastAsia" w:ascii="宋体" w:hAnsi="宋体"/>
          <w:sz w:val="24"/>
        </w:rPr>
        <w:t>回归模型中</w:t>
      </w:r>
      <w:r>
        <w:rPr>
          <w:rFonts w:ascii="宋体" w:hAnsi="宋体"/>
          <w:sz w:val="24"/>
        </w:rPr>
        <w:t>随机解释变量的后果，掌握获得工具变量</w:t>
      </w:r>
      <w:r>
        <w:rPr>
          <w:rFonts w:hint="eastAsia" w:ascii="宋体" w:hAnsi="宋体"/>
          <w:sz w:val="24"/>
        </w:rPr>
        <w:t>的方法</w:t>
      </w:r>
      <w:r>
        <w:rPr>
          <w:rFonts w:ascii="宋体" w:hAnsi="宋体"/>
          <w:sz w:val="24"/>
        </w:rPr>
        <w:t>和工具变量</w:t>
      </w:r>
      <w:r>
        <w:rPr>
          <w:rFonts w:hint="eastAsia" w:ascii="宋体" w:hAnsi="宋体"/>
          <w:sz w:val="24"/>
        </w:rPr>
        <w:t>有效性的</w:t>
      </w:r>
      <w:r>
        <w:rPr>
          <w:rFonts w:ascii="宋体" w:hAnsi="宋体"/>
          <w:sz w:val="24"/>
        </w:rPr>
        <w:t>检验，并利用工具变量法估计模型</w:t>
      </w:r>
      <w:r>
        <w:rPr>
          <w:rFonts w:hint="eastAsia" w:ascii="宋体" w:hAnsi="宋体"/>
          <w:sz w:val="24"/>
        </w:rPr>
        <w:t>参数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 掌握设定虚拟变量</w:t>
      </w:r>
      <w:r>
        <w:rPr>
          <w:rFonts w:hint="eastAsia" w:ascii="宋体" w:hAnsi="宋体"/>
          <w:sz w:val="24"/>
        </w:rPr>
        <w:t>和模型</w:t>
      </w:r>
      <w:r>
        <w:rPr>
          <w:rFonts w:ascii="宋体" w:hAnsi="宋体"/>
          <w:sz w:val="24"/>
        </w:rPr>
        <w:t>估计</w:t>
      </w:r>
      <w:r>
        <w:rPr>
          <w:rFonts w:hint="eastAsia" w:ascii="宋体" w:hAnsi="宋体"/>
          <w:sz w:val="24"/>
        </w:rPr>
        <w:t>的方法以及理解模型回归</w:t>
      </w:r>
      <w:r>
        <w:rPr>
          <w:rFonts w:ascii="宋体" w:hAnsi="宋体"/>
          <w:sz w:val="24"/>
        </w:rPr>
        <w:t>参数的意义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 了解选择变量的滞后阶数</w:t>
      </w:r>
      <w:r>
        <w:rPr>
          <w:rFonts w:hint="eastAsia" w:ascii="宋体" w:hAnsi="宋体"/>
          <w:sz w:val="24"/>
        </w:rPr>
        <w:t>的方法和</w:t>
      </w:r>
      <w:r>
        <w:rPr>
          <w:rFonts w:ascii="宋体" w:hAnsi="宋体"/>
          <w:sz w:val="24"/>
        </w:rPr>
        <w:t>确定模型的</w:t>
      </w:r>
      <w:r>
        <w:rPr>
          <w:rFonts w:hint="eastAsia" w:ascii="宋体" w:hAnsi="宋体"/>
          <w:sz w:val="24"/>
        </w:rPr>
        <w:t>解释</w:t>
      </w:r>
      <w:r>
        <w:rPr>
          <w:rFonts w:ascii="宋体" w:hAnsi="宋体"/>
          <w:sz w:val="24"/>
        </w:rPr>
        <w:t>变量个数</w:t>
      </w:r>
      <w:r>
        <w:rPr>
          <w:rFonts w:hint="eastAsia" w:ascii="宋体" w:hAnsi="宋体"/>
          <w:sz w:val="24"/>
        </w:rPr>
        <w:t>的方法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 掌握模型函数形式的检验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. 掌握模型的结构变动</w:t>
      </w:r>
      <w:r>
        <w:rPr>
          <w:rFonts w:hint="eastAsia" w:ascii="宋体" w:hAnsi="宋体"/>
          <w:sz w:val="24"/>
        </w:rPr>
        <w:t>检验</w:t>
      </w:r>
      <w:r>
        <w:rPr>
          <w:rFonts w:ascii="宋体" w:hAnsi="宋体"/>
          <w:sz w:val="24"/>
        </w:rPr>
        <w:t>，并进行参数估计。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（八）二值选择模型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 掌握</w:t>
      </w:r>
      <w:r>
        <w:rPr>
          <w:rFonts w:hint="eastAsia" w:ascii="宋体" w:hAnsi="宋体"/>
          <w:sz w:val="24"/>
        </w:rPr>
        <w:t>建立</w:t>
      </w:r>
      <w:r>
        <w:rPr>
          <w:rFonts w:ascii="宋体" w:hAnsi="宋体"/>
          <w:sz w:val="24"/>
        </w:rPr>
        <w:t>二值选择模型 (Probit</w:t>
      </w:r>
      <w:r>
        <w:rPr>
          <w:rFonts w:hint="eastAsia" w:ascii="宋体" w:hAnsi="宋体"/>
          <w:sz w:val="24"/>
        </w:rPr>
        <w:t>模型</w:t>
      </w:r>
      <w:r>
        <w:rPr>
          <w:rFonts w:ascii="宋体" w:hAnsi="宋体"/>
          <w:sz w:val="24"/>
        </w:rPr>
        <w:t>、Logit</w:t>
      </w:r>
      <w:r>
        <w:rPr>
          <w:rFonts w:hint="eastAsia" w:ascii="宋体" w:hAnsi="宋体"/>
          <w:sz w:val="24"/>
        </w:rPr>
        <w:t>模型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的基本理论；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掌握最大似然估计法；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</w:t>
      </w:r>
      <w:r>
        <w:rPr>
          <w:rFonts w:hint="eastAsia" w:ascii="宋体" w:hAnsi="宋体"/>
          <w:sz w:val="24"/>
        </w:rPr>
        <w:t>二值选择</w:t>
      </w:r>
      <w:r>
        <w:rPr>
          <w:rFonts w:ascii="宋体" w:hAnsi="宋体"/>
          <w:sz w:val="24"/>
        </w:rPr>
        <w:t>模型边际效应的计算以及理解</w:t>
      </w:r>
      <w:r>
        <w:rPr>
          <w:rFonts w:hint="eastAsia" w:ascii="宋体" w:hAnsi="宋体"/>
          <w:sz w:val="24"/>
        </w:rPr>
        <w:t>回归</w:t>
      </w:r>
      <w:r>
        <w:rPr>
          <w:rFonts w:ascii="宋体" w:hAnsi="宋体"/>
          <w:sz w:val="24"/>
        </w:rPr>
        <w:t>参数的</w:t>
      </w:r>
      <w:r>
        <w:rPr>
          <w:rFonts w:hint="eastAsia" w:ascii="宋体" w:hAnsi="宋体"/>
          <w:sz w:val="24"/>
        </w:rPr>
        <w:t>经济</w:t>
      </w:r>
      <w:r>
        <w:rPr>
          <w:rFonts w:ascii="宋体" w:hAnsi="宋体"/>
          <w:sz w:val="24"/>
        </w:rPr>
        <w:t>意义。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（九）面板数据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面板数据模型的特点；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掌握建立面板数据模型的</w:t>
      </w:r>
      <w:r>
        <w:rPr>
          <w:rFonts w:hint="eastAsia" w:ascii="宋体" w:hAnsi="宋体"/>
          <w:sz w:val="24"/>
        </w:rPr>
        <w:t>策略</w:t>
      </w:r>
      <w:r>
        <w:rPr>
          <w:rFonts w:ascii="宋体" w:hAnsi="宋体"/>
          <w:sz w:val="24"/>
        </w:rPr>
        <w:t>（混合法、固定效应模型、随机效应模型），以及模型的估计方法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 掌握面板数据模型拟合优度的度量。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（十）平稳时间序列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时间序列模型的特点；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掌握建立自回归模型和自回归分布滞后模型的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原理；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掌握误差修正模型的长期效应与短期效应的计算；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脉冲响应函数意义；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 掌握自回归模型和向量自回归模型的估计方法以及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模型参数的意义；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 掌握格兰杰因果检验。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（十一）单位根与协整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非平稳时间序列模型的特点；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 掌握单位根检验；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协整的思想</w:t>
      </w:r>
      <w:r>
        <w:rPr>
          <w:rFonts w:hint="eastAsia" w:ascii="宋体" w:hAnsi="宋体"/>
          <w:sz w:val="24"/>
        </w:rPr>
        <w:t>和初步检验</w:t>
      </w:r>
      <w:r>
        <w:rPr>
          <w:rFonts w:ascii="宋体" w:hAnsi="宋体"/>
          <w:sz w:val="24"/>
        </w:rPr>
        <w:t>；</w:t>
      </w:r>
    </w:p>
    <w:p>
      <w:pPr>
        <w:adjustRightInd w:val="0"/>
        <w:snapToGrid w:val="0"/>
        <w:spacing w:after="240"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 掌握协整的</w:t>
      </w:r>
      <w:r>
        <w:rPr>
          <w:rFonts w:hint="eastAsia" w:ascii="宋体" w:hAnsi="宋体"/>
          <w:sz w:val="24"/>
        </w:rPr>
        <w:t>最大似然</w:t>
      </w:r>
      <w:r>
        <w:rPr>
          <w:rFonts w:ascii="宋体" w:hAnsi="宋体"/>
          <w:sz w:val="24"/>
        </w:rPr>
        <w:t>估计法以及</w:t>
      </w:r>
      <w:r>
        <w:rPr>
          <w:rFonts w:hint="eastAsia" w:ascii="宋体" w:hAnsi="宋体"/>
          <w:sz w:val="24"/>
        </w:rPr>
        <w:t>理解</w:t>
      </w:r>
      <w:r>
        <w:rPr>
          <w:rFonts w:ascii="宋体" w:hAnsi="宋体"/>
          <w:sz w:val="24"/>
        </w:rPr>
        <w:t>模型参数的意义。</w:t>
      </w:r>
    </w:p>
    <w:p>
      <w:pPr>
        <w:spacing w:after="240"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、参考教材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ascii="宋体" w:hAnsi="宋体"/>
          <w:sz w:val="24"/>
        </w:rPr>
        <w:t>陈强.《计量经济学及Stata应用》，高等教育出版社，2015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ascii="宋体" w:hAnsi="宋体"/>
          <w:sz w:val="24"/>
        </w:rPr>
        <w:t>张晓峒.《计量经济学基础》(第4版)，南开大学出版社，2014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 xml:space="preserve">3. </w:t>
      </w:r>
      <w:r>
        <w:rPr>
          <w:rFonts w:ascii="宋体" w:hAnsi="宋体"/>
          <w:sz w:val="24"/>
        </w:rPr>
        <w:t>李子奈，潘文卿.《计量经济学》(第4版)，高等教育出版社，2015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TUwYjY1YWQ3NmYxNzczZDMxYWY3NTY3MTkwZjAifQ=="/>
  </w:docVars>
  <w:rsids>
    <w:rsidRoot w:val="00C73111"/>
    <w:rsid w:val="00004D1B"/>
    <w:rsid w:val="0004539E"/>
    <w:rsid w:val="0005694D"/>
    <w:rsid w:val="000616B5"/>
    <w:rsid w:val="00092C62"/>
    <w:rsid w:val="000B73FB"/>
    <w:rsid w:val="00101252"/>
    <w:rsid w:val="00124BBC"/>
    <w:rsid w:val="00221898"/>
    <w:rsid w:val="002525F3"/>
    <w:rsid w:val="00257F1F"/>
    <w:rsid w:val="00260217"/>
    <w:rsid w:val="00275CD1"/>
    <w:rsid w:val="00307677"/>
    <w:rsid w:val="00325165"/>
    <w:rsid w:val="00333307"/>
    <w:rsid w:val="00335082"/>
    <w:rsid w:val="0034340D"/>
    <w:rsid w:val="00353DCF"/>
    <w:rsid w:val="00366261"/>
    <w:rsid w:val="00366534"/>
    <w:rsid w:val="003A0FF5"/>
    <w:rsid w:val="003B4ABE"/>
    <w:rsid w:val="003E4E50"/>
    <w:rsid w:val="00407191"/>
    <w:rsid w:val="00446BC0"/>
    <w:rsid w:val="00455F26"/>
    <w:rsid w:val="00471168"/>
    <w:rsid w:val="004954C9"/>
    <w:rsid w:val="0051412F"/>
    <w:rsid w:val="005279F5"/>
    <w:rsid w:val="00544CD1"/>
    <w:rsid w:val="005F3690"/>
    <w:rsid w:val="00626F52"/>
    <w:rsid w:val="00657141"/>
    <w:rsid w:val="006875FC"/>
    <w:rsid w:val="006F06F9"/>
    <w:rsid w:val="006F470D"/>
    <w:rsid w:val="0072431B"/>
    <w:rsid w:val="0077694E"/>
    <w:rsid w:val="007830A4"/>
    <w:rsid w:val="007C2D23"/>
    <w:rsid w:val="007E03EC"/>
    <w:rsid w:val="007E569A"/>
    <w:rsid w:val="0081614A"/>
    <w:rsid w:val="00866EA7"/>
    <w:rsid w:val="0089218E"/>
    <w:rsid w:val="008C4F62"/>
    <w:rsid w:val="00931976"/>
    <w:rsid w:val="009319A3"/>
    <w:rsid w:val="009326E2"/>
    <w:rsid w:val="00975311"/>
    <w:rsid w:val="00975BB4"/>
    <w:rsid w:val="009A1406"/>
    <w:rsid w:val="009A25A8"/>
    <w:rsid w:val="009B6CF0"/>
    <w:rsid w:val="009B6DB2"/>
    <w:rsid w:val="009C0C46"/>
    <w:rsid w:val="009F1915"/>
    <w:rsid w:val="00A51FDD"/>
    <w:rsid w:val="00AC3947"/>
    <w:rsid w:val="00B80EA1"/>
    <w:rsid w:val="00B9672C"/>
    <w:rsid w:val="00C06667"/>
    <w:rsid w:val="00C44EF1"/>
    <w:rsid w:val="00C73111"/>
    <w:rsid w:val="00CE1B23"/>
    <w:rsid w:val="00CE2E82"/>
    <w:rsid w:val="00CE5CA2"/>
    <w:rsid w:val="00D35DF6"/>
    <w:rsid w:val="00D63D8A"/>
    <w:rsid w:val="00DB579D"/>
    <w:rsid w:val="00DD42C7"/>
    <w:rsid w:val="00DE6D47"/>
    <w:rsid w:val="00DE7912"/>
    <w:rsid w:val="00E211C1"/>
    <w:rsid w:val="00E44DD1"/>
    <w:rsid w:val="00E46ED4"/>
    <w:rsid w:val="00E623B6"/>
    <w:rsid w:val="00E853BE"/>
    <w:rsid w:val="00EA74DC"/>
    <w:rsid w:val="00EB10BB"/>
    <w:rsid w:val="00EB6CE7"/>
    <w:rsid w:val="00EE5010"/>
    <w:rsid w:val="00F07DCC"/>
    <w:rsid w:val="00F146DB"/>
    <w:rsid w:val="00F16B0F"/>
    <w:rsid w:val="00F70494"/>
    <w:rsid w:val="00F743E5"/>
    <w:rsid w:val="00FA681F"/>
    <w:rsid w:val="00FB196C"/>
    <w:rsid w:val="121241E6"/>
    <w:rsid w:val="13FC71ED"/>
    <w:rsid w:val="1B732BD0"/>
    <w:rsid w:val="1B942C74"/>
    <w:rsid w:val="29D0737E"/>
    <w:rsid w:val="640866FA"/>
    <w:rsid w:val="6FBF3E09"/>
    <w:rsid w:val="747D6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2023-12-05T12:53:55Z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789C56708BFC4C70B5886BEBDFBC0609_13</vt:lpwstr>
  </property>
</Properties>
</file>