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FFFF"/>
  <w:body>
    <w:p>
      <w:pPr>
        <w:jc w:val="center"/>
        <w:rPr>
          <w:rFonts w:hint="eastAsia" w:ascii="微软雅黑" w:hAnsi="微软雅黑" w:eastAsia="微软雅黑"/>
          <w:b/>
          <w:sz w:val="40"/>
          <w:szCs w:val="32"/>
        </w:rPr>
      </w:pPr>
      <w:bookmarkStart w:id="0" w:name="_GoBack"/>
      <w:bookmarkEnd w:id="0"/>
      <w:r>
        <w:rPr>
          <w:rFonts w:hint="eastAsia" w:ascii="微软雅黑" w:hAnsi="微软雅黑" w:eastAsia="微软雅黑"/>
          <w:b/>
          <w:sz w:val="40"/>
          <w:szCs w:val="32"/>
        </w:rPr>
        <w:t>863高级土壤学考试大纲</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一、考试性质</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高级土壤学考试是</w:t>
      </w:r>
      <w:r>
        <w:rPr>
          <w:rFonts w:hint="eastAsia" w:eastAsia="仿宋_GB2312"/>
          <w:sz w:val="24"/>
          <w:szCs w:val="21"/>
        </w:rPr>
        <w:t>农业资源利用</w:t>
      </w:r>
      <w:r>
        <w:rPr>
          <w:rFonts w:hint="eastAsia" w:ascii="仿宋_GB2312" w:hAnsi="宋体" w:eastAsia="仿宋_GB2312"/>
          <w:sz w:val="24"/>
          <w:szCs w:val="21"/>
        </w:rPr>
        <w:t>专业学位硕士生入学考试科目之一，是经教育部授权的中国农业大学研究生院自主命题的考试科目，旨在选拔具备一定专业水平的农业科技人员进入专业硕士学位的学习。本考试大纲的制定力求反映农业资源利用专业学位的特点，科学、公平、准确、规范地测评考生的相关知识基础、基本素质和综合能力。高级土壤学考试的目的是测试考生的土壤学相关基础理论和专业理论的实际运用能力。</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二、评价目标</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(1)要求考生具备较为全面的土壤学基础知识。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(2)要求考生具备较高的土壤学理论分析能力。</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(3)要求考生具备较强的土壤学理论应用能力。</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三、考试内容</w:t>
      </w:r>
    </w:p>
    <w:p>
      <w:pPr>
        <w:spacing w:line="400" w:lineRule="exact"/>
        <w:ind w:firstLine="480"/>
        <w:rPr>
          <w:rFonts w:hint="eastAsia" w:ascii="仿宋_GB2312" w:hAnsi="宋体" w:eastAsia="仿宋_GB2312"/>
          <w:sz w:val="24"/>
          <w:szCs w:val="21"/>
        </w:rPr>
      </w:pPr>
      <w:r>
        <w:rPr>
          <w:rFonts w:hint="eastAsia" w:ascii="仿宋_GB2312" w:hAnsi="宋体" w:eastAsia="仿宋_GB2312"/>
          <w:sz w:val="24"/>
          <w:szCs w:val="21"/>
        </w:rPr>
        <w:t>高级土壤学考试由“土壤学基础知识</w:t>
      </w:r>
      <w:r>
        <w:rPr>
          <w:rFonts w:ascii="仿宋_GB2312" w:hAnsi="宋体" w:eastAsia="仿宋_GB2312"/>
          <w:sz w:val="24"/>
          <w:szCs w:val="21"/>
        </w:rPr>
        <w:t>”</w:t>
      </w:r>
      <w:r>
        <w:rPr>
          <w:rFonts w:hint="eastAsia" w:ascii="仿宋_GB2312" w:hAnsi="宋体" w:eastAsia="仿宋_GB2312"/>
          <w:sz w:val="24"/>
          <w:szCs w:val="21"/>
        </w:rPr>
        <w:t>和“土壤学理论分析与综合应用”两部分组成。</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（一）土壤学基础知识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土壤学基础知识部分测试以下内容：</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1.土壤质地与结构</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2.土壤水</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3.土壤热量</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4.土壤胶体与特性</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5.土壤酸碱性与酸碱缓冲性</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6.土壤氧化还原性</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7.土壤生物种类与功能</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8.土壤氮素的形态与转化</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9.土壤磷素形态与转化</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10.土壤钾</w:t>
      </w:r>
      <w:r>
        <w:rPr>
          <w:rFonts w:hint="eastAsia" w:eastAsia="仿宋_GB2312"/>
          <w:sz w:val="24"/>
          <w:szCs w:val="21"/>
        </w:rPr>
        <w:t>、</w:t>
      </w:r>
      <w:r>
        <w:rPr>
          <w:rFonts w:hint="eastAsia" w:ascii="仿宋_GB2312" w:hAnsi="宋体" w:eastAsia="仿宋_GB2312"/>
          <w:sz w:val="24"/>
          <w:szCs w:val="21"/>
        </w:rPr>
        <w:t>钙、镁、硫、微量元素的形态与有效性</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11.土壤母质的来源与类型</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12.土壤形成因素</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13.土壤形成中的物质循环与代表性成土过程</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14.土壤发育与剖面</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15.地带性分布概念与世界主要土壤分类系统</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16.我国土壤分布状况</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17.土壤质量概念与评价</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18.土壤退化概念与主要类型</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19.土壤调查基本原则与方法</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20.土壤信息系统组成</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（二）</w:t>
      </w:r>
      <w:r>
        <w:rPr>
          <w:rFonts w:hint="eastAsia" w:ascii="微软雅黑" w:hAnsi="微软雅黑" w:eastAsia="微软雅黑"/>
          <w:b/>
          <w:sz w:val="32"/>
          <w:szCs w:val="32"/>
        </w:rPr>
        <w:t>土壤学理论分析与综合应用</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土壤学理论分析与综合应用测试以下内容：</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 土壤肥力评价原则与实例分析</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2. 土壤水、气、热状况的调控手段与实例分析</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3. 土壤酸碱性的意义与调节途径</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4．土壤生物与土传病害、连作障碍关系分析与防治措施</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5. 土壤有机质的作用与全球碳循环</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6．土壤养分有效性与调控</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7．土壤过程与地表水体富营养化的关系与实例分析</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8．土壤过程与温室气体排放</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9．农田、园艺、草原、城市土壤特征分析</w:t>
      </w:r>
    </w:p>
    <w:p>
      <w:pPr>
        <w:spacing w:line="400" w:lineRule="exact"/>
        <w:ind w:firstLine="808" w:firstLineChars="337"/>
        <w:rPr>
          <w:rFonts w:hint="eastAsia" w:ascii="仿宋_GB2312" w:hAnsi="宋体" w:eastAsia="仿宋_GB2312"/>
          <w:sz w:val="24"/>
          <w:szCs w:val="21"/>
        </w:rPr>
      </w:pPr>
      <w:r>
        <w:rPr>
          <w:rFonts w:hint="eastAsia" w:ascii="仿宋_GB2312" w:hAnsi="宋体" w:eastAsia="仿宋_GB2312"/>
          <w:sz w:val="24"/>
          <w:szCs w:val="21"/>
        </w:rPr>
        <w:t>10．土壤学与现实问题（如再生水灌溉、垃圾施肥、食品安全、碳贸易，等等）。</w:t>
      </w:r>
    </w:p>
    <w:p>
      <w:pPr>
        <w:spacing w:before="156" w:beforeLines="50" w:after="156" w:afterLines="50"/>
        <w:rPr>
          <w:rFonts w:hint="eastAsia" w:ascii="微软雅黑" w:hAnsi="微软雅黑" w:eastAsia="微软雅黑"/>
          <w:b/>
          <w:sz w:val="36"/>
          <w:szCs w:val="28"/>
        </w:rPr>
      </w:pPr>
      <w:r>
        <w:rPr>
          <w:rFonts w:hint="eastAsia" w:ascii="微软雅黑" w:hAnsi="微软雅黑" w:eastAsia="微软雅黑"/>
          <w:b/>
          <w:sz w:val="36"/>
          <w:szCs w:val="28"/>
        </w:rPr>
        <w:t>四、考试形式和试卷结构</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（一）考试时间</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考试时间为180分钟。</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（二）答题方式</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答题方式为闭卷、笔试。</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试卷由试题和答题纸组成。答案必须写在答题纸相应的位置上。</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（三）试卷满分及考查内容分数分配</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试卷满分为150分。其中土壤学基础知识部分90分，土壤学理论分析与综合应用部分60分。</w:t>
      </w:r>
    </w:p>
    <w:p>
      <w:pPr>
        <w:spacing w:before="156" w:beforeLines="50" w:after="156" w:afterLines="50" w:line="400" w:lineRule="exact"/>
        <w:ind w:firstLine="480" w:firstLineChars="150"/>
        <w:rPr>
          <w:rFonts w:hint="eastAsia" w:ascii="微软雅黑" w:hAnsi="微软雅黑" w:eastAsia="微软雅黑"/>
          <w:b/>
          <w:sz w:val="32"/>
        </w:rPr>
      </w:pPr>
      <w:r>
        <w:rPr>
          <w:rFonts w:hint="eastAsia" w:ascii="微软雅黑" w:hAnsi="微软雅黑" w:eastAsia="微软雅黑"/>
          <w:b/>
          <w:sz w:val="32"/>
        </w:rPr>
        <w:t>（四）试卷题型比例</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土壤学基础知识   90分</w:t>
      </w:r>
    </w:p>
    <w:p>
      <w:pPr>
        <w:spacing w:line="400" w:lineRule="exact"/>
        <w:ind w:firstLine="720" w:firstLineChars="300"/>
        <w:rPr>
          <w:rFonts w:hint="eastAsia" w:ascii="仿宋_GB2312" w:hAnsi="宋体" w:eastAsia="仿宋_GB2312"/>
          <w:sz w:val="24"/>
          <w:szCs w:val="21"/>
        </w:rPr>
      </w:pPr>
      <w:r>
        <w:rPr>
          <w:rFonts w:hint="eastAsia" w:ascii="仿宋_GB2312" w:hAnsi="宋体" w:eastAsia="仿宋_GB2312"/>
          <w:sz w:val="24"/>
          <w:szCs w:val="21"/>
        </w:rPr>
        <w:t>填空，30题，每小题1分，共30分</w:t>
      </w:r>
    </w:p>
    <w:p>
      <w:pPr>
        <w:spacing w:line="400" w:lineRule="exact"/>
        <w:ind w:firstLine="720" w:firstLineChars="300"/>
        <w:rPr>
          <w:rFonts w:hint="eastAsia" w:ascii="仿宋_GB2312" w:hAnsi="宋体" w:eastAsia="仿宋_GB2312"/>
          <w:sz w:val="24"/>
          <w:szCs w:val="21"/>
        </w:rPr>
      </w:pPr>
      <w:r>
        <w:rPr>
          <w:rFonts w:hint="eastAsia" w:ascii="仿宋_GB2312" w:hAnsi="宋体" w:eastAsia="仿宋_GB2312"/>
          <w:sz w:val="24"/>
          <w:szCs w:val="21"/>
        </w:rPr>
        <w:t>判断，15题，每小题1分，共15分</w:t>
      </w:r>
    </w:p>
    <w:p>
      <w:pPr>
        <w:spacing w:line="400" w:lineRule="exact"/>
        <w:ind w:firstLine="720" w:firstLineChars="300"/>
        <w:rPr>
          <w:rFonts w:hint="eastAsia" w:ascii="仿宋_GB2312" w:hAnsi="宋体" w:eastAsia="仿宋_GB2312"/>
          <w:sz w:val="24"/>
          <w:szCs w:val="21"/>
        </w:rPr>
      </w:pPr>
      <w:r>
        <w:rPr>
          <w:rFonts w:hint="eastAsia" w:ascii="仿宋_GB2312" w:hAnsi="宋体" w:eastAsia="仿宋_GB2312"/>
          <w:sz w:val="24"/>
          <w:szCs w:val="21"/>
        </w:rPr>
        <w:t>名词解释，15题，每小题3分，共45分</w:t>
      </w:r>
    </w:p>
    <w:p>
      <w:pPr>
        <w:spacing w:line="400" w:lineRule="exact"/>
        <w:ind w:firstLine="480" w:firstLineChars="200"/>
        <w:rPr>
          <w:rFonts w:hint="eastAsia" w:ascii="仿宋_GB2312" w:hAnsi="宋体" w:eastAsia="仿宋_GB2312"/>
          <w:sz w:val="24"/>
          <w:szCs w:val="21"/>
        </w:rPr>
      </w:pPr>
      <w:r>
        <w:rPr>
          <w:rFonts w:hint="eastAsia" w:ascii="仿宋_GB2312" w:hAnsi="宋体" w:eastAsia="仿宋_GB2312"/>
          <w:sz w:val="24"/>
          <w:szCs w:val="21"/>
        </w:rPr>
        <w:t>土壤学理论分析与综合应用   60分</w:t>
      </w:r>
    </w:p>
    <w:p>
      <w:pPr>
        <w:spacing w:line="400" w:lineRule="exact"/>
        <w:ind w:firstLine="720" w:firstLineChars="300"/>
        <w:rPr>
          <w:rFonts w:hint="eastAsia" w:ascii="仿宋_GB2312" w:hAnsi="宋体" w:eastAsia="仿宋_GB2312"/>
          <w:sz w:val="24"/>
          <w:szCs w:val="21"/>
        </w:rPr>
      </w:pPr>
      <w:r>
        <w:rPr>
          <w:rFonts w:hint="eastAsia" w:ascii="仿宋_GB2312" w:hAnsi="宋体" w:eastAsia="仿宋_GB2312"/>
          <w:sz w:val="24"/>
          <w:szCs w:val="21"/>
        </w:rPr>
        <w:t>理论综合论述：2题，共40分</w:t>
      </w:r>
    </w:p>
    <w:p>
      <w:pPr>
        <w:spacing w:line="400" w:lineRule="exact"/>
        <w:ind w:firstLine="720" w:firstLineChars="300"/>
        <w:rPr>
          <w:rFonts w:hint="eastAsia" w:ascii="仿宋_GB2312" w:hAnsi="宋体" w:eastAsia="仿宋_GB2312"/>
          <w:sz w:val="24"/>
          <w:szCs w:val="21"/>
        </w:rPr>
      </w:pPr>
      <w:r>
        <w:rPr>
          <w:rFonts w:hint="eastAsia" w:ascii="仿宋_GB2312" w:hAnsi="宋体" w:eastAsia="仿宋_GB2312"/>
          <w:sz w:val="24"/>
          <w:szCs w:val="21"/>
        </w:rPr>
        <w:t>实例应用分析或社会热点问题：1-2题，共20分</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lang/>
      </w:rPr>
      <w:t>3</w:t>
    </w:r>
    <w:r>
      <w:rPr>
        <w:rStyle w:val="11"/>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8E"/>
    <w:rsid w:val="00017D54"/>
    <w:rsid w:val="00032713"/>
    <w:rsid w:val="00034644"/>
    <w:rsid w:val="00036194"/>
    <w:rsid w:val="00046C36"/>
    <w:rsid w:val="00052AD5"/>
    <w:rsid w:val="0005773A"/>
    <w:rsid w:val="00061B7C"/>
    <w:rsid w:val="000E66FB"/>
    <w:rsid w:val="00100B7E"/>
    <w:rsid w:val="00110263"/>
    <w:rsid w:val="00130F92"/>
    <w:rsid w:val="00152FC6"/>
    <w:rsid w:val="00157158"/>
    <w:rsid w:val="001727D1"/>
    <w:rsid w:val="0018553B"/>
    <w:rsid w:val="001902D6"/>
    <w:rsid w:val="00190807"/>
    <w:rsid w:val="001D0CCE"/>
    <w:rsid w:val="001D3BB5"/>
    <w:rsid w:val="0022353C"/>
    <w:rsid w:val="00233CD6"/>
    <w:rsid w:val="00234B0E"/>
    <w:rsid w:val="00242563"/>
    <w:rsid w:val="00246EEC"/>
    <w:rsid w:val="00256301"/>
    <w:rsid w:val="00257EAF"/>
    <w:rsid w:val="00264124"/>
    <w:rsid w:val="00283C7F"/>
    <w:rsid w:val="0029258D"/>
    <w:rsid w:val="002D27DC"/>
    <w:rsid w:val="002F2DB3"/>
    <w:rsid w:val="00306735"/>
    <w:rsid w:val="00362618"/>
    <w:rsid w:val="00364632"/>
    <w:rsid w:val="0036572F"/>
    <w:rsid w:val="00384CF6"/>
    <w:rsid w:val="003A4B4B"/>
    <w:rsid w:val="003B298B"/>
    <w:rsid w:val="003D4145"/>
    <w:rsid w:val="003E398E"/>
    <w:rsid w:val="003F39EC"/>
    <w:rsid w:val="00406053"/>
    <w:rsid w:val="004161D5"/>
    <w:rsid w:val="00424B28"/>
    <w:rsid w:val="00436E70"/>
    <w:rsid w:val="0044372C"/>
    <w:rsid w:val="00462CB4"/>
    <w:rsid w:val="004711E8"/>
    <w:rsid w:val="0048685F"/>
    <w:rsid w:val="004A7259"/>
    <w:rsid w:val="004B2869"/>
    <w:rsid w:val="004C6469"/>
    <w:rsid w:val="004C6B1A"/>
    <w:rsid w:val="004D1CEC"/>
    <w:rsid w:val="004D3DB4"/>
    <w:rsid w:val="004F16A9"/>
    <w:rsid w:val="004F4985"/>
    <w:rsid w:val="00535E2A"/>
    <w:rsid w:val="005A20EF"/>
    <w:rsid w:val="005A2DF0"/>
    <w:rsid w:val="005A4BD9"/>
    <w:rsid w:val="005A5631"/>
    <w:rsid w:val="005A7694"/>
    <w:rsid w:val="005B3310"/>
    <w:rsid w:val="005D3D4D"/>
    <w:rsid w:val="005E6E02"/>
    <w:rsid w:val="005E71DA"/>
    <w:rsid w:val="00602AF7"/>
    <w:rsid w:val="00612CC8"/>
    <w:rsid w:val="006243BC"/>
    <w:rsid w:val="00633BE9"/>
    <w:rsid w:val="00637AED"/>
    <w:rsid w:val="006511B3"/>
    <w:rsid w:val="00693B77"/>
    <w:rsid w:val="0071443B"/>
    <w:rsid w:val="00721228"/>
    <w:rsid w:val="00734775"/>
    <w:rsid w:val="0075269C"/>
    <w:rsid w:val="0077400B"/>
    <w:rsid w:val="00782019"/>
    <w:rsid w:val="00785B8B"/>
    <w:rsid w:val="007A1AAF"/>
    <w:rsid w:val="007C3242"/>
    <w:rsid w:val="00832F9F"/>
    <w:rsid w:val="008444C5"/>
    <w:rsid w:val="00855DFE"/>
    <w:rsid w:val="008610A1"/>
    <w:rsid w:val="00885D7C"/>
    <w:rsid w:val="00886A4F"/>
    <w:rsid w:val="00890484"/>
    <w:rsid w:val="008B2110"/>
    <w:rsid w:val="008C0C74"/>
    <w:rsid w:val="008D1718"/>
    <w:rsid w:val="008D1BFE"/>
    <w:rsid w:val="00900236"/>
    <w:rsid w:val="009014A2"/>
    <w:rsid w:val="00925E42"/>
    <w:rsid w:val="009359A3"/>
    <w:rsid w:val="00946C09"/>
    <w:rsid w:val="00963165"/>
    <w:rsid w:val="00987022"/>
    <w:rsid w:val="00996A84"/>
    <w:rsid w:val="009A37EF"/>
    <w:rsid w:val="009A65F3"/>
    <w:rsid w:val="009A7647"/>
    <w:rsid w:val="009A7F8C"/>
    <w:rsid w:val="009D45E0"/>
    <w:rsid w:val="00A70F62"/>
    <w:rsid w:val="00A73F47"/>
    <w:rsid w:val="00AA3680"/>
    <w:rsid w:val="00AB16CF"/>
    <w:rsid w:val="00AD0480"/>
    <w:rsid w:val="00AE5989"/>
    <w:rsid w:val="00AE73B4"/>
    <w:rsid w:val="00B13E6C"/>
    <w:rsid w:val="00B24475"/>
    <w:rsid w:val="00B37D68"/>
    <w:rsid w:val="00B50159"/>
    <w:rsid w:val="00B53E81"/>
    <w:rsid w:val="00B620D1"/>
    <w:rsid w:val="00B7652E"/>
    <w:rsid w:val="00B85740"/>
    <w:rsid w:val="00BA0BFC"/>
    <w:rsid w:val="00BB0479"/>
    <w:rsid w:val="00BD60CE"/>
    <w:rsid w:val="00BF2E6A"/>
    <w:rsid w:val="00BF3AC0"/>
    <w:rsid w:val="00C0353D"/>
    <w:rsid w:val="00C16176"/>
    <w:rsid w:val="00C31C14"/>
    <w:rsid w:val="00C52B40"/>
    <w:rsid w:val="00C5548E"/>
    <w:rsid w:val="00C55BDB"/>
    <w:rsid w:val="00C624B8"/>
    <w:rsid w:val="00C718AE"/>
    <w:rsid w:val="00C93C79"/>
    <w:rsid w:val="00CC21FC"/>
    <w:rsid w:val="00CC50AD"/>
    <w:rsid w:val="00CE5111"/>
    <w:rsid w:val="00CF03BF"/>
    <w:rsid w:val="00CF5E48"/>
    <w:rsid w:val="00D02FA3"/>
    <w:rsid w:val="00D10550"/>
    <w:rsid w:val="00D26398"/>
    <w:rsid w:val="00D35524"/>
    <w:rsid w:val="00D41AC5"/>
    <w:rsid w:val="00D52C21"/>
    <w:rsid w:val="00D73A36"/>
    <w:rsid w:val="00D76514"/>
    <w:rsid w:val="00D77A7A"/>
    <w:rsid w:val="00DA5686"/>
    <w:rsid w:val="00DA68D7"/>
    <w:rsid w:val="00DB27E4"/>
    <w:rsid w:val="00DE74CD"/>
    <w:rsid w:val="00DF310C"/>
    <w:rsid w:val="00E0645D"/>
    <w:rsid w:val="00E1099D"/>
    <w:rsid w:val="00E24D13"/>
    <w:rsid w:val="00E3567F"/>
    <w:rsid w:val="00E42155"/>
    <w:rsid w:val="00E63B20"/>
    <w:rsid w:val="00E90D72"/>
    <w:rsid w:val="00E961EE"/>
    <w:rsid w:val="00EA5031"/>
    <w:rsid w:val="00EB3412"/>
    <w:rsid w:val="00EF1E87"/>
    <w:rsid w:val="00F05429"/>
    <w:rsid w:val="00F144BF"/>
    <w:rsid w:val="00F20415"/>
    <w:rsid w:val="00F55E5B"/>
    <w:rsid w:val="00F57567"/>
    <w:rsid w:val="00FB1ED4"/>
    <w:rsid w:val="00FC647F"/>
    <w:rsid w:val="00FE334E"/>
    <w:rsid w:val="00FE3A0D"/>
    <w:rsid w:val="0AE20EFD"/>
    <w:rsid w:val="2ACA7D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cs="宋体"/>
      <w:kern w:val="0"/>
      <w:sz w:val="24"/>
    </w:rPr>
  </w:style>
  <w:style w:type="table" w:styleId="6">
    <w:name w:val="Table Grid"/>
    <w:basedOn w:val="5"/>
    <w:uiPriority w:val="0"/>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
    <w:name w:val="Table Simple 1"/>
    <w:basedOn w:val="5"/>
    <w:uiPriority w:val="0"/>
    <w:pPr>
      <w:widowControl w:val="0"/>
      <w:jc w:val="both"/>
    </w:pPr>
    <w:tblPr>
      <w:tblStyle w:val="5"/>
      <w:tblBorders>
        <w:top w:val="single" w:color="008000" w:sz="12" w:space="0"/>
        <w:bottom w:val="single" w:color="008000" w:sz="12" w:space="0"/>
      </w:tblBorders>
    </w:tblPr>
    <w:tcPr>
      <w:shd w:val="clear" w:color="auto" w:fill="auto"/>
    </w:tcPr>
    <w:tblStylePr w:type="firstRow">
      <w:tblPr>
        <w:tblStyle w:val="5"/>
      </w:tblPr>
      <w:tcPr>
        <w:tcBorders>
          <w:left w:val="single" w:color="008000" w:sz="6" w:space="0"/>
          <w:tl2br w:val="nil"/>
          <w:tr2bl w:val="nil"/>
        </w:tcBorders>
      </w:tcPr>
    </w:tblStylePr>
    <w:tblStylePr w:type="lastRow">
      <w:tblPr>
        <w:tblStyle w:val="5"/>
      </w:tblPr>
      <w:tcPr>
        <w:tcBorders>
          <w:top w:val="single" w:color="008000" w:sz="6" w:space="0"/>
          <w:tl2br w:val="nil"/>
          <w:tr2bl w:val="nil"/>
        </w:tcBorders>
      </w:tcPr>
    </w:tblStylePr>
  </w:style>
  <w:style w:type="table" w:styleId="8">
    <w:name w:val="Table List 3"/>
    <w:basedOn w:val="5"/>
    <w:uiPriority w:val="0"/>
    <w:pPr>
      <w:widowControl w:val="0"/>
      <w:jc w:val="both"/>
    </w:pPr>
    <w:tblPr>
      <w:tblStyle w:val="5"/>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blStyle w:val="5"/>
      </w:tblPr>
      <w:tcPr>
        <w:tcBorders>
          <w:left w:val="single" w:color="000000" w:sz="12" w:space="0"/>
          <w:tl2br w:val="nil"/>
          <w:tr2bl w:val="nil"/>
        </w:tcBorders>
      </w:tcPr>
    </w:tblStylePr>
    <w:tblStylePr w:type="lastRow">
      <w:tblPr>
        <w:tblStyle w:val="5"/>
      </w:tblPr>
      <w:tcPr>
        <w:tcBorders>
          <w:top w:val="single" w:color="000000" w:sz="12" w:space="0"/>
          <w:tl2br w:val="nil"/>
          <w:tr2bl w:val="nil"/>
        </w:tcBorders>
      </w:tcPr>
    </w:tblStylePr>
    <w:tblStylePr w:type="swCell">
      <w:rPr>
        <w:i/>
        <w:iCs/>
        <w:color w:val="000080"/>
      </w:rPr>
      <w:tblPr>
        <w:tblStyle w:val="5"/>
      </w:tblPr>
      <w:tcPr>
        <w:tcBorders>
          <w:tl2br w:val="nil"/>
          <w:tr2bl w:val="nil"/>
        </w:tcBorders>
      </w:tcPr>
    </w:tblStylePr>
  </w:style>
  <w:style w:type="character" w:styleId="10">
    <w:name w:val="Strong"/>
    <w:qFormat/>
    <w:uiPriority w:val="0"/>
    <w:rPr>
      <w:b/>
      <w:bCs/>
    </w:rPr>
  </w:style>
  <w:style w:type="character" w:styleId="11">
    <w:name w:val="page number"/>
    <w:basedOn w:val="9"/>
    <w:uiPriority w:val="0"/>
  </w:style>
  <w:style w:type="character" w:styleId="12">
    <w:name w:val="Emphasis"/>
    <w:qFormat/>
    <w:uiPriority w:val="20"/>
    <w:rPr>
      <w:color w:val="CC0033"/>
    </w:rPr>
  </w:style>
  <w:style w:type="character" w:customStyle="1" w:styleId="13">
    <w:name w:val="页眉 字符"/>
    <w:link w:val="3"/>
    <w:uiPriority w:val="0"/>
    <w:rPr>
      <w:kern w:val="2"/>
      <w:sz w:val="18"/>
      <w:szCs w:val="18"/>
    </w:rPr>
  </w:style>
  <w:style w:type="paragraph" w:customStyle="1" w:styleId="14">
    <w:name w:val="列出段落"/>
    <w:basedOn w:val="1"/>
    <w:qFormat/>
    <w:uiPriority w:val="34"/>
    <w:pPr>
      <w:ind w:firstLine="420" w:firstLineChars="200"/>
    </w:pPr>
    <w:rPr>
      <w:rFonts w:ascii="Calibri" w:hAnsi="Calibri"/>
      <w:szCs w:val="22"/>
    </w:rPr>
  </w:style>
  <w:style w:type="paragraph" w:customStyle="1" w:styleId="15">
    <w:name w:val="p01"/>
    <w:basedOn w:val="1"/>
    <w:uiPriority w:val="0"/>
    <w:pPr>
      <w:widowControl/>
      <w:wordWrap w:val="0"/>
      <w:spacing w:before="150" w:after="100" w:afterAutospacing="1" w:line="432" w:lineRule="auto"/>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beida</Company>
  <Pages>3</Pages>
  <Words>171</Words>
  <Characters>978</Characters>
  <Lines>8</Lines>
  <Paragraphs>2</Paragraphs>
  <TotalTime>0</TotalTime>
  <ScaleCrop>false</ScaleCrop>
  <LinksUpToDate>false</LinksUpToDate>
  <CharactersWithSpaces>1147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2011-09-25T01:38:00Z</dcterms:created>
  <dc:creator>zhuxiaoya</dc:creator>
  <cp:lastModifiedBy>vertesyuan</cp:lastModifiedBy>
  <cp:lastPrinted>2009-09-24T06:35:00Z</cp:lastPrinted>
  <dcterms:modified xsi:type="dcterms:W3CDTF">2023-12-06T02:12:28Z</dcterms:modified>
  <dc:title>汉语国际教育硕士入学考试大纲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682CC30FF9A545598524BD4D434C7C62_13</vt:lpwstr>
  </property>
</Properties>
</file>