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_GoBack"/>
      <w:bookmarkEnd w:id="0"/>
    </w:p>
    <w:p>
      <w:pPr>
        <w:jc w:val="center"/>
        <w:rPr>
          <w:rFonts w:ascii="微软雅黑" w:hAnsi="微软雅黑" w:eastAsia="微软雅黑"/>
          <w:b/>
          <w:sz w:val="40"/>
          <w:szCs w:val="32"/>
        </w:rPr>
      </w:pPr>
      <w:r>
        <w:rPr>
          <w:rFonts w:hint="eastAsia" w:ascii="微软雅黑" w:hAnsi="微软雅黑" w:eastAsia="微软雅黑"/>
          <w:b/>
          <w:sz w:val="40"/>
          <w:szCs w:val="32"/>
        </w:rPr>
        <w:t>农业综合知识三</w:t>
      </w:r>
      <w:r>
        <w:rPr>
          <w:rFonts w:ascii="微软雅黑" w:hAnsi="微软雅黑" w:eastAsia="微软雅黑"/>
          <w:b/>
          <w:sz w:val="40"/>
          <w:szCs w:val="32"/>
        </w:rPr>
        <w:t>(341)</w:t>
      </w:r>
    </w:p>
    <w:p>
      <w:pPr>
        <w:jc w:val="center"/>
        <w:rPr>
          <w:rFonts w:ascii="微软雅黑" w:hAnsi="微软雅黑" w:eastAsia="微软雅黑"/>
          <w:b/>
          <w:sz w:val="40"/>
          <w:szCs w:val="32"/>
        </w:rPr>
      </w:pPr>
      <w:r>
        <w:rPr>
          <w:rFonts w:hint="eastAsia" w:ascii="微软雅黑" w:hAnsi="微软雅黑" w:eastAsia="微软雅黑"/>
          <w:b/>
          <w:sz w:val="40"/>
          <w:szCs w:val="32"/>
        </w:rPr>
        <w:t>考试大纲</w:t>
      </w:r>
    </w:p>
    <w:p>
      <w:pPr>
        <w:spacing w:beforeLines="50" w:afterLines="50"/>
        <w:rPr>
          <w:rFonts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420" w:firstLineChars="200"/>
        <w:rPr>
          <w:rFonts w:ascii="宋体" w:hAnsi="宋体" w:cs="宋体"/>
          <w:szCs w:val="21"/>
        </w:rPr>
      </w:pPr>
      <w:r>
        <w:rPr>
          <w:rFonts w:hint="eastAsia" w:ascii="宋体" w:hAnsi="宋体" w:cs="宋体"/>
          <w:szCs w:val="21"/>
        </w:rPr>
        <w:t>农业综合知识三考试是农业硕士生入学考试科目之一，是由农业硕士专业学位教育指导委员会统一制定考试大纲，教育部授权的各农业硕士生招生院校自行命题的选拔性考试。考试大纲的制定力求反映农业硕士专业学位的特点，科学、公平、准确、规范地测评考生的相关知识基础、基本素质和综合能力。农业综合知识三考试的目的是测试考生的食品生产与安全相关基础知识和食品中危害物的识别、分析检验、预防控制措施及相关法律法规和标准的掌握程度。</w:t>
      </w:r>
    </w:p>
    <w:p>
      <w:pPr>
        <w:spacing w:beforeLines="50" w:afterLines="50"/>
        <w:rPr>
          <w:rFonts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525" w:firstLineChars="250"/>
        <w:rPr>
          <w:rFonts w:ascii="宋体" w:hAnsi="宋体" w:cs="宋体"/>
          <w:szCs w:val="21"/>
        </w:rPr>
      </w:pPr>
      <w:r>
        <w:rPr>
          <w:rFonts w:hint="eastAsia" w:ascii="宋体" w:hAnsi="宋体" w:cs="宋体"/>
          <w:szCs w:val="21"/>
        </w:rPr>
        <w:t>(1) 要求考生具有较全面的食品卫生与安全控制基础知识。</w:t>
      </w:r>
    </w:p>
    <w:p>
      <w:pPr>
        <w:spacing w:line="400" w:lineRule="exact"/>
        <w:ind w:firstLine="420" w:firstLineChars="200"/>
        <w:rPr>
          <w:rFonts w:ascii="宋体" w:hAnsi="宋体" w:cs="宋体"/>
          <w:szCs w:val="21"/>
        </w:rPr>
      </w:pPr>
      <w:r>
        <w:rPr>
          <w:rFonts w:hint="eastAsia" w:ascii="宋体" w:hAnsi="宋体" w:cs="宋体"/>
          <w:szCs w:val="21"/>
        </w:rPr>
        <w:t>（2）要求考生系统理解和掌握食品安全管理与法规的基本概念和原则。</w:t>
      </w:r>
    </w:p>
    <w:p>
      <w:pPr>
        <w:spacing w:line="400" w:lineRule="exact"/>
        <w:ind w:firstLine="420" w:firstLineChars="200"/>
        <w:rPr>
          <w:rFonts w:ascii="宋体" w:hAnsi="宋体" w:cs="宋体"/>
          <w:szCs w:val="21"/>
        </w:rPr>
      </w:pPr>
      <w:r>
        <w:rPr>
          <w:rFonts w:hint="eastAsia" w:ascii="宋体" w:hAnsi="宋体" w:cs="宋体"/>
          <w:szCs w:val="21"/>
        </w:rPr>
        <w:t>（3）要求学生全面掌握食品分析与检验的基本原理、方法和应用。</w:t>
      </w:r>
    </w:p>
    <w:p>
      <w:pPr>
        <w:spacing w:beforeLines="50" w:afterLines="50"/>
        <w:rPr>
          <w:rFonts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0"/>
        <w:rPr>
          <w:rFonts w:ascii="宋体" w:hAnsi="宋体" w:cs="宋体"/>
          <w:szCs w:val="21"/>
        </w:rPr>
      </w:pPr>
      <w:r>
        <w:rPr>
          <w:rFonts w:hint="eastAsia" w:ascii="宋体" w:hAnsi="宋体" w:cs="宋体"/>
          <w:szCs w:val="21"/>
        </w:rPr>
        <w:t>农业综合知识三考试由“食品卫生与安全控制基础”、“食品安全管理与法规”和“ 食品分析与检验”三部分组成。</w:t>
      </w:r>
    </w:p>
    <w:p>
      <w:pPr>
        <w:spacing w:line="400" w:lineRule="exact"/>
        <w:ind w:firstLine="480"/>
        <w:rPr>
          <w:rFonts w:ascii="仿宋_GB2312" w:hAnsi="宋体" w:eastAsia="仿宋_GB2312"/>
          <w:sz w:val="24"/>
          <w:szCs w:val="21"/>
        </w:rPr>
      </w:pPr>
    </w:p>
    <w:p>
      <w:pPr>
        <w:spacing w:line="400" w:lineRule="exact"/>
        <w:ind w:firstLine="480"/>
        <w:jc w:val="center"/>
        <w:rPr>
          <w:rFonts w:ascii="微软雅黑" w:hAnsi="微软雅黑" w:eastAsia="微软雅黑"/>
          <w:b/>
          <w:sz w:val="36"/>
          <w:szCs w:val="28"/>
        </w:rPr>
      </w:pPr>
      <w:r>
        <w:rPr>
          <w:rFonts w:hint="eastAsia" w:ascii="微软雅黑" w:hAnsi="微软雅黑" w:eastAsia="微软雅黑"/>
          <w:b/>
          <w:sz w:val="36"/>
          <w:szCs w:val="28"/>
        </w:rPr>
        <w:t>（一）食品卫生与安全控制基础</w:t>
      </w:r>
    </w:p>
    <w:p>
      <w:pPr>
        <w:jc w:val="center"/>
        <w:rPr>
          <w:b/>
        </w:rPr>
      </w:pPr>
    </w:p>
    <w:p>
      <w:pPr>
        <w:jc w:val="center"/>
        <w:rPr>
          <w:b/>
          <w:bCs w:val="0"/>
          <w:sz w:val="28"/>
          <w:szCs w:val="28"/>
        </w:rPr>
      </w:pPr>
      <w:r>
        <w:rPr>
          <w:rFonts w:hint="eastAsia"/>
          <w:b/>
          <w:bCs w:val="0"/>
          <w:sz w:val="28"/>
          <w:szCs w:val="28"/>
        </w:rPr>
        <w:t>第一部分</w:t>
      </w:r>
      <w:r>
        <w:rPr>
          <w:rFonts w:hint="eastAsia"/>
          <w:b/>
          <w:bCs w:val="0"/>
          <w:sz w:val="28"/>
          <w:szCs w:val="28"/>
          <w:lang w:val="en-US" w:eastAsia="zh-CN"/>
        </w:rPr>
        <w:t xml:space="preserve"> </w:t>
      </w:r>
      <w:r>
        <w:rPr>
          <w:rFonts w:hint="eastAsia"/>
          <w:b/>
          <w:bCs w:val="0"/>
          <w:kern w:val="0"/>
          <w:sz w:val="28"/>
          <w:szCs w:val="28"/>
        </w:rPr>
        <w:t>生物性污染与食品安全</w:t>
      </w:r>
    </w:p>
    <w:p>
      <w:pPr>
        <w:spacing w:beforeLines="50" w:afterLines="50" w:line="400" w:lineRule="exact"/>
        <w:ind w:firstLine="525" w:firstLineChars="250"/>
        <w:rPr>
          <w:rFonts w:ascii="宋体"/>
          <w:bCs/>
        </w:rPr>
      </w:pPr>
      <w:r>
        <w:rPr>
          <w:rFonts w:hint="eastAsia" w:ascii="宋体" w:hAnsi="宋体"/>
          <w:bCs/>
        </w:rPr>
        <w:t>食品细菌污染的来源、途径，常见腐败菌、致病菌对人体的危害、检验及控制措施；食品中常见病毒污染的来源、途径、对人体的危害及控制措施；食品中常见寄生虫污染的来源、途径、危害及控制措施；食品中常见霉菌污染的途径、霉菌毒素的产生的条件、影响因素、对人体的危害和控制措施。</w:t>
      </w:r>
    </w:p>
    <w:p>
      <w:pPr>
        <w:jc w:val="center"/>
        <w:rPr>
          <w:b/>
          <w:sz w:val="28"/>
          <w:szCs w:val="28"/>
        </w:rPr>
      </w:pPr>
      <w:r>
        <w:rPr>
          <w:rFonts w:hint="eastAsia"/>
          <w:b/>
          <w:sz w:val="28"/>
          <w:szCs w:val="28"/>
        </w:rPr>
        <w:t>第二部分</w:t>
      </w:r>
      <w:r>
        <w:rPr>
          <w:rFonts w:hint="eastAsia"/>
          <w:b/>
          <w:sz w:val="28"/>
          <w:szCs w:val="28"/>
          <w:lang w:val="en-US" w:eastAsia="zh-CN"/>
        </w:rPr>
        <w:t xml:space="preserve"> </w:t>
      </w:r>
      <w:r>
        <w:rPr>
          <w:rFonts w:hint="eastAsia"/>
          <w:b/>
          <w:sz w:val="28"/>
          <w:szCs w:val="28"/>
        </w:rPr>
        <w:t>化学性污染与食品安全</w:t>
      </w:r>
    </w:p>
    <w:p>
      <w:pPr>
        <w:spacing w:beforeLines="50" w:afterLines="50" w:line="400" w:lineRule="exact"/>
        <w:ind w:firstLine="525" w:firstLineChars="250"/>
        <w:rPr>
          <w:rFonts w:ascii="宋体"/>
          <w:bCs/>
        </w:rPr>
      </w:pPr>
      <w:r>
        <w:rPr>
          <w:rFonts w:hint="eastAsia" w:ascii="宋体" w:hAnsi="宋体"/>
          <w:bCs/>
        </w:rPr>
        <w:t>常见的食品中天然有害物质对人体的危害及预防控制原则；重金属、环境污染物污染食品的途径，对人体危害和控制措施；农药、兽药等化学物质在食品中残留的原因、影响因素，对人体的危害及控制措施；食品加工过程产生的有害物质、产生条件、影响因素、对人体的危害和控制措施；食品包装材料对食品的污染、对人体的危害及控制措施。</w:t>
      </w:r>
    </w:p>
    <w:p>
      <w:pPr>
        <w:numPr>
          <w:ilvl w:val="0"/>
          <w:numId w:val="1"/>
        </w:numPr>
        <w:jc w:val="center"/>
        <w:rPr>
          <w:b/>
          <w:sz w:val="28"/>
          <w:szCs w:val="28"/>
        </w:rPr>
      </w:pPr>
      <w:r>
        <w:rPr>
          <w:rFonts w:hint="eastAsia"/>
          <w:b/>
          <w:sz w:val="28"/>
          <w:szCs w:val="28"/>
        </w:rPr>
        <w:t xml:space="preserve">物理性污染与食品安全 </w:t>
      </w:r>
    </w:p>
    <w:p>
      <w:pPr>
        <w:spacing w:line="400" w:lineRule="exact"/>
        <w:ind w:firstLine="420" w:firstLineChars="200"/>
        <w:jc w:val="left"/>
        <w:rPr>
          <w:b/>
        </w:rPr>
      </w:pPr>
      <w:r>
        <w:rPr>
          <w:rFonts w:hint="eastAsia"/>
          <w:kern w:val="0"/>
          <w:szCs w:val="21"/>
        </w:rPr>
        <w:t>食品中主要的物理污染及其预防和控制措施。包括：动物性食品、植物性食品和水产品中各自常见的异物及其进入食品的途径，对食品安全性的影响及控制措施；食品中常见放射性物质的来源及其对人体的危害，辐照食品的安全性及预防和控制措施。</w:t>
      </w:r>
    </w:p>
    <w:p>
      <w:pPr>
        <w:jc w:val="center"/>
        <w:rPr>
          <w:b/>
          <w:sz w:val="28"/>
          <w:szCs w:val="28"/>
        </w:rPr>
      </w:pPr>
    </w:p>
    <w:p>
      <w:pPr>
        <w:numPr>
          <w:ilvl w:val="0"/>
          <w:numId w:val="1"/>
        </w:numPr>
        <w:jc w:val="center"/>
        <w:rPr>
          <w:b/>
          <w:sz w:val="28"/>
          <w:szCs w:val="28"/>
        </w:rPr>
      </w:pPr>
      <w:r>
        <w:rPr>
          <w:rFonts w:hint="eastAsia"/>
          <w:b/>
          <w:sz w:val="28"/>
          <w:szCs w:val="28"/>
        </w:rPr>
        <w:t>加工食品的安全性</w:t>
      </w:r>
    </w:p>
    <w:p>
      <w:pPr>
        <w:spacing w:line="400" w:lineRule="exact"/>
        <w:ind w:firstLine="420" w:firstLineChars="200"/>
        <w:rPr>
          <w:rFonts w:hint="eastAsia"/>
          <w:b/>
          <w:bCs/>
          <w:sz w:val="28"/>
          <w:szCs w:val="36"/>
        </w:rPr>
      </w:pPr>
      <w:r>
        <w:rPr>
          <w:rFonts w:hint="eastAsia"/>
          <w:kern w:val="0"/>
          <w:szCs w:val="21"/>
        </w:rPr>
        <w:t>各种加工工艺可能产生的有害物质种类、危害、危害产生的原因以及控制措施。包括：酸败油脂、加工油脂（反式脂肪酸）及天然油脂（芥子甙和芥酸及棉酚残留）可能对人体产生的危害，烟熏、调味（醋及酱油）、酒类（蒸馏、发酵及配制酒）及辐照食品可能存在的食品安全性问题及相应的控制措施。</w:t>
      </w:r>
    </w:p>
    <w:p>
      <w:pPr>
        <w:spacing w:line="360" w:lineRule="auto"/>
        <w:jc w:val="center"/>
        <w:rPr>
          <w:rFonts w:hint="eastAsia"/>
          <w:b/>
          <w:bCs/>
          <w:sz w:val="28"/>
          <w:szCs w:val="36"/>
        </w:rPr>
      </w:pPr>
      <w:r>
        <w:rPr>
          <w:rFonts w:hint="eastAsia"/>
          <w:b/>
          <w:bCs/>
          <w:sz w:val="28"/>
          <w:szCs w:val="36"/>
        </w:rPr>
        <w:t>第五部分</w:t>
      </w:r>
      <w:r>
        <w:rPr>
          <w:rFonts w:hint="eastAsia"/>
          <w:b/>
          <w:bCs/>
          <w:sz w:val="28"/>
          <w:szCs w:val="36"/>
          <w:lang w:val="en-US" w:eastAsia="zh-CN"/>
        </w:rPr>
        <w:t xml:space="preserve"> </w:t>
      </w:r>
      <w:r>
        <w:rPr>
          <w:rFonts w:hint="eastAsia"/>
          <w:b/>
          <w:bCs/>
          <w:sz w:val="28"/>
          <w:szCs w:val="36"/>
        </w:rPr>
        <w:t>食品安全控制</w:t>
      </w:r>
    </w:p>
    <w:p>
      <w:pPr>
        <w:spacing w:beforeLines="50" w:afterLines="50" w:line="400" w:lineRule="exact"/>
        <w:ind w:firstLine="315" w:firstLineChars="150"/>
        <w:rPr>
          <w:rFonts w:hint="eastAsia"/>
          <w:kern w:val="0"/>
          <w:szCs w:val="21"/>
        </w:rPr>
      </w:pPr>
      <w:r>
        <w:rPr>
          <w:rFonts w:hint="eastAsia"/>
          <w:kern w:val="0"/>
          <w:szCs w:val="21"/>
        </w:rPr>
        <w:t>动物性食品以及植物性食品中的潜在危害因素。动物性食品在天然有害物质、农兽药残留、人畜共患病、生物因素尤其是有害微生物方面的安全控制措施；天然有毒物质、环境污染物、亚硝酸盐、农残等在植物性食品中的危害控制点及安全控制措施。各类食品在加工、储藏、销售环节涉及的危害控制点及措施，包括食品的包装安全。</w:t>
      </w:r>
    </w:p>
    <w:p>
      <w:pPr>
        <w:spacing w:beforeLines="50" w:afterLines="50" w:line="400" w:lineRule="exact"/>
        <w:ind w:firstLine="315" w:firstLineChars="150"/>
        <w:rPr>
          <w:rFonts w:hint="eastAsia"/>
          <w:kern w:val="0"/>
          <w:szCs w:val="21"/>
        </w:rPr>
      </w:pPr>
    </w:p>
    <w:p>
      <w:pPr>
        <w:spacing w:before="156" w:beforeLines="50" w:after="156" w:afterLines="50" w:line="360" w:lineRule="auto"/>
        <w:jc w:val="center"/>
        <w:rPr>
          <w:rFonts w:hint="eastAsia" w:ascii="微软雅黑" w:hAnsi="微软雅黑" w:eastAsia="微软雅黑"/>
          <w:b/>
          <w:sz w:val="32"/>
        </w:rPr>
      </w:pPr>
      <w:r>
        <w:rPr>
          <w:rFonts w:hint="eastAsia" w:ascii="微软雅黑" w:hAnsi="微软雅黑" w:eastAsia="微软雅黑"/>
          <w:b/>
          <w:sz w:val="32"/>
        </w:rPr>
        <w:t>（二）食品安全管理与法规</w:t>
      </w:r>
    </w:p>
    <w:p>
      <w:pPr>
        <w:spacing w:line="360" w:lineRule="auto"/>
        <w:jc w:val="center"/>
        <w:rPr>
          <w:rFonts w:hint="eastAsia"/>
          <w:b/>
          <w:bCs/>
          <w:sz w:val="28"/>
          <w:szCs w:val="36"/>
        </w:rPr>
      </w:pPr>
      <w:r>
        <w:rPr>
          <w:rFonts w:hint="eastAsia"/>
          <w:b/>
          <w:bCs/>
          <w:sz w:val="28"/>
          <w:szCs w:val="36"/>
        </w:rPr>
        <w:t>第一部分食品法规与标准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highlight w:val="none"/>
          <w:lang w:eastAsia="zh-CN"/>
        </w:rPr>
      </w:pPr>
      <w:r>
        <w:rPr>
          <w:rFonts w:hint="eastAsia"/>
        </w:rPr>
        <w:t>《中华人民共和国农产品质量安全法》</w:t>
      </w:r>
      <w:r>
        <w:rPr>
          <w:rFonts w:hint="eastAsia"/>
          <w:lang w:val="en-US" w:eastAsia="zh-CN"/>
        </w:rPr>
        <w:t>2022年修订版</w:t>
      </w:r>
      <w:r>
        <w:rPr>
          <w:rFonts w:hint="eastAsia"/>
        </w:rPr>
        <w:t>“六不准”“八不得”的主要内容及其</w:t>
      </w:r>
      <w:r>
        <w:rPr>
          <w:rFonts w:hint="eastAsia"/>
          <w:highlight w:val="none"/>
        </w:rPr>
        <w:t>他相关规定</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《中华人民共和国食品安全法》</w:t>
      </w:r>
      <w:r>
        <w:rPr>
          <w:rFonts w:hint="eastAsia"/>
          <w:highlight w:val="none"/>
          <w:lang w:eastAsia="zh-CN"/>
        </w:rPr>
        <w:t>（</w:t>
      </w:r>
      <w:r>
        <w:rPr>
          <w:rFonts w:hint="eastAsia"/>
          <w:highlight w:val="none"/>
          <w:lang w:val="en-US" w:eastAsia="zh-CN"/>
        </w:rPr>
        <w:t>2021年修订</w:t>
      </w:r>
      <w:r>
        <w:rPr>
          <w:rFonts w:hint="eastAsia"/>
          <w:highlight w:val="none"/>
          <w:lang w:eastAsia="zh-CN"/>
        </w:rPr>
        <w:t>）</w:t>
      </w:r>
      <w:r>
        <w:rPr>
          <w:rFonts w:hint="eastAsia"/>
          <w:highlight w:val="none"/>
          <w:lang w:val="en-US" w:eastAsia="zh-CN"/>
        </w:rPr>
        <w:t>的主要内容，及其实施条例和配套法规；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lang w:eastAsia="zh-CN"/>
        </w:rPr>
      </w:pPr>
      <w:r>
        <w:rPr>
          <w:rFonts w:hint="eastAsia"/>
        </w:rPr>
        <w:t>我国食品许可证制度的历史沿革</w:t>
      </w:r>
      <w:r>
        <w:rPr>
          <w:rFonts w:hint="eastAsia"/>
          <w:lang w:eastAsia="zh-CN"/>
        </w:rPr>
        <w:t>，</w:t>
      </w:r>
      <w:r>
        <w:rPr>
          <w:rFonts w:hint="eastAsia"/>
        </w:rPr>
        <w:t>及《食品生产许可管理办法》</w:t>
      </w:r>
      <w:r>
        <w:rPr>
          <w:rFonts w:hint="eastAsia"/>
          <w:lang w:val="en-US" w:eastAsia="zh-CN"/>
        </w:rPr>
        <w:t>2</w:t>
      </w:r>
      <w:r>
        <w:rPr>
          <w:rFonts w:hint="eastAsia"/>
          <w:highlight w:val="none"/>
          <w:lang w:val="en-US" w:eastAsia="zh-CN"/>
        </w:rPr>
        <w:t>020年版、《食品经营许可管理办法》2015年版</w:t>
      </w:r>
      <w:r>
        <w:rPr>
          <w:rFonts w:hint="eastAsia"/>
          <w:highlight w:val="none"/>
        </w:rPr>
        <w:t>的主要内容</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标准的定义、实施目的及意义，以及我国食品安全标准的历史沿革。</w:t>
      </w:r>
    </w:p>
    <w:p>
      <w:pPr>
        <w:spacing w:line="360" w:lineRule="auto"/>
        <w:jc w:val="center"/>
        <w:rPr>
          <w:rFonts w:hint="eastAsia"/>
          <w:b/>
          <w:bCs/>
          <w:sz w:val="28"/>
          <w:szCs w:val="36"/>
        </w:rPr>
      </w:pPr>
      <w:r>
        <w:rPr>
          <w:rFonts w:hint="eastAsia"/>
          <w:b/>
          <w:bCs/>
          <w:sz w:val="28"/>
          <w:szCs w:val="36"/>
        </w:rPr>
        <w:t>第二部分农产品三品一标认证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lang w:eastAsia="zh-CN"/>
        </w:rPr>
      </w:pPr>
      <w:r>
        <w:rPr>
          <w:rFonts w:hint="eastAsia"/>
        </w:rPr>
        <w:t>《无公害农产品标志管理办法》的主要内容</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eastAsia="zh-CN"/>
        </w:rPr>
        <w:t>《</w:t>
      </w:r>
      <w:r>
        <w:rPr>
          <w:rFonts w:hint="eastAsia"/>
        </w:rPr>
        <w:t>绿色食品标志管理办法》、《绿色食品标志许可审查工作规范》、《绿色食品现场检查工作规范》</w:t>
      </w:r>
      <w:r>
        <w:rPr>
          <w:rFonts w:hint="eastAsia"/>
          <w:lang w:val="en-US" w:eastAsia="zh-CN"/>
        </w:rPr>
        <w:t>的主要内容。</w:t>
      </w:r>
    </w:p>
    <w:p>
      <w:pPr>
        <w:spacing w:beforeLines="50" w:afterLines="50" w:line="400" w:lineRule="exact"/>
        <w:ind w:firstLine="703" w:firstLineChars="250"/>
        <w:jc w:val="center"/>
        <w:rPr>
          <w:rFonts w:hint="eastAsia"/>
          <w:b/>
          <w:bCs/>
          <w:sz w:val="28"/>
          <w:szCs w:val="36"/>
        </w:rPr>
      </w:pPr>
      <w:r>
        <w:rPr>
          <w:rFonts w:hint="eastAsia"/>
          <w:b/>
          <w:bCs/>
          <w:sz w:val="28"/>
          <w:szCs w:val="36"/>
          <w:lang w:eastAsia="zh-CN"/>
        </w:rPr>
        <w:t>第三</w:t>
      </w:r>
      <w:r>
        <w:rPr>
          <w:rFonts w:hint="eastAsia"/>
          <w:b/>
          <w:bCs/>
          <w:sz w:val="28"/>
          <w:szCs w:val="36"/>
        </w:rPr>
        <w:t>部分  食品加工过程管理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SSOP、GMP及HACCP的主要内容及相互关系；CCP点的选择与关键限值的确立方法；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ISO9000、ISO14000及ISO22000的主要用途及主要精神；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highlight w:val="none"/>
        </w:rPr>
        <w:t>ISO22000与HACCP的关系。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spacing w:beforeLines="50" w:afterLines="50" w:line="400" w:lineRule="exact"/>
        <w:ind w:firstLine="480" w:firstLineChars="150"/>
        <w:jc w:val="center"/>
        <w:rPr>
          <w:rFonts w:ascii="微软雅黑" w:hAnsi="微软雅黑" w:eastAsia="微软雅黑"/>
          <w:b/>
          <w:sz w:val="32"/>
        </w:rPr>
      </w:pPr>
      <w:r>
        <w:rPr>
          <w:rFonts w:hint="eastAsia" w:ascii="微软雅黑" w:hAnsi="微软雅黑" w:eastAsia="微软雅黑"/>
          <w:b/>
          <w:sz w:val="32"/>
        </w:rPr>
        <w:t>（三）食品分析与检验</w:t>
      </w:r>
    </w:p>
    <w:p>
      <w:pPr>
        <w:spacing w:beforeLines="50" w:afterLines="50" w:line="400" w:lineRule="exact"/>
        <w:ind w:firstLine="703" w:firstLineChars="250"/>
        <w:jc w:val="center"/>
        <w:rPr>
          <w:rFonts w:ascii="宋体"/>
          <w:bCs/>
          <w:sz w:val="28"/>
          <w:szCs w:val="28"/>
        </w:rPr>
      </w:pPr>
      <w:r>
        <w:rPr>
          <w:rFonts w:hint="eastAsia" w:ascii="宋体" w:hAnsi="宋体"/>
          <w:b/>
          <w:bCs/>
          <w:sz w:val="28"/>
          <w:szCs w:val="28"/>
        </w:rPr>
        <w:t>第一部分采样与样品处理</w:t>
      </w:r>
    </w:p>
    <w:p>
      <w:pPr>
        <w:spacing w:beforeLines="50" w:afterLines="50" w:line="400" w:lineRule="exact"/>
        <w:ind w:firstLine="525" w:firstLineChars="250"/>
        <w:rPr>
          <w:rFonts w:ascii="宋体"/>
          <w:bCs/>
        </w:rPr>
      </w:pPr>
      <w:r>
        <w:rPr>
          <w:rFonts w:hint="eastAsia" w:ascii="宋体" w:hAnsi="宋体"/>
          <w:bCs/>
        </w:rPr>
        <w:t>采样的原则、方式和不同状态食品的抽样方法、样品制备的原则，以及用水、试剂与器皿的要求等；各类标准的级别；溶剂提取法、蒸馏法、层析分离法、固相萃取、沉淀法、水解法、酶解法、有机物破坏法等样品前处理的原理、方法及应用特点。</w:t>
      </w:r>
    </w:p>
    <w:p>
      <w:pPr>
        <w:spacing w:beforeLines="50" w:afterLines="50" w:line="400" w:lineRule="exact"/>
        <w:ind w:firstLine="703" w:firstLineChars="250"/>
        <w:jc w:val="center"/>
        <w:rPr>
          <w:rFonts w:ascii="宋体"/>
          <w:bCs/>
          <w:sz w:val="28"/>
          <w:szCs w:val="28"/>
        </w:rPr>
      </w:pPr>
      <w:r>
        <w:rPr>
          <w:rFonts w:hint="eastAsia" w:ascii="宋体" w:hAnsi="宋体"/>
          <w:b/>
          <w:bCs/>
          <w:sz w:val="28"/>
          <w:szCs w:val="28"/>
        </w:rPr>
        <w:t>第二部分分析方法</w:t>
      </w:r>
    </w:p>
    <w:p>
      <w:pPr>
        <w:spacing w:beforeLines="50" w:afterLines="50" w:line="400" w:lineRule="exact"/>
        <w:ind w:firstLine="525" w:firstLineChars="250"/>
        <w:rPr>
          <w:rFonts w:ascii="宋体"/>
          <w:bCs/>
        </w:rPr>
      </w:pPr>
      <w:r>
        <w:rPr>
          <w:rFonts w:hint="eastAsia" w:ascii="宋体" w:hAnsi="宋体"/>
          <w:bCs/>
        </w:rPr>
        <w:t>滴定法、重量法、凯氏定氮法、紫外</w:t>
      </w:r>
      <w:r>
        <w:rPr>
          <w:rFonts w:ascii="宋体"/>
          <w:bCs/>
        </w:rPr>
        <w:t>-</w:t>
      </w:r>
      <w:r>
        <w:rPr>
          <w:rFonts w:hint="eastAsia" w:ascii="宋体" w:hAnsi="宋体"/>
          <w:bCs/>
        </w:rPr>
        <w:t>可见光谱法、气相色谱法、液相色谱法、原子光谱法（原子吸收与原子荧光）等在食品分析与检测中应用的基本原理及其主要应用方式、注意事项。</w:t>
      </w:r>
    </w:p>
    <w:p>
      <w:pPr>
        <w:spacing w:beforeLines="50" w:afterLines="50" w:line="400" w:lineRule="exact"/>
        <w:ind w:firstLine="703" w:firstLineChars="250"/>
        <w:jc w:val="center"/>
        <w:rPr>
          <w:rFonts w:ascii="宋体"/>
          <w:b/>
          <w:bCs/>
          <w:sz w:val="28"/>
          <w:szCs w:val="28"/>
        </w:rPr>
      </w:pPr>
      <w:r>
        <w:rPr>
          <w:rFonts w:hint="eastAsia" w:ascii="宋体" w:hAnsi="宋体"/>
          <w:b/>
          <w:bCs/>
          <w:sz w:val="28"/>
          <w:szCs w:val="28"/>
        </w:rPr>
        <w:t>第三部分分析方法的评价与检验结果的正确表述</w:t>
      </w:r>
    </w:p>
    <w:p>
      <w:pPr>
        <w:spacing w:beforeLines="50" w:afterLines="50" w:line="400" w:lineRule="exact"/>
        <w:ind w:firstLine="525" w:firstLineChars="250"/>
        <w:rPr>
          <w:rFonts w:hint="eastAsia" w:ascii="宋体" w:hAnsi="宋体"/>
          <w:bCs/>
        </w:rPr>
      </w:pPr>
      <w:r>
        <w:rPr>
          <w:rFonts w:hint="eastAsia" w:ascii="宋体" w:hAnsi="宋体"/>
          <w:bCs/>
        </w:rPr>
        <w:t>检出限、定量限、线性范围、回收率、重复性、精密度的概念和方法评价方法。检验结果的准确度，误差的来源和分类、随机误差分布规律和有限数据的统计处理，系统误差的检验、提高测定准确度的措施、有效数字的正确表示方法和计算。</w:t>
      </w:r>
    </w:p>
    <w:p>
      <w:pPr>
        <w:spacing w:beforeLines="50" w:afterLines="50" w:line="400" w:lineRule="exact"/>
        <w:ind w:firstLine="525" w:firstLineChars="250"/>
        <w:rPr>
          <w:rFonts w:hint="eastAsia" w:ascii="宋体" w:hAnsi="宋体"/>
          <w:bCs/>
        </w:rPr>
      </w:pPr>
    </w:p>
    <w:p>
      <w:pPr>
        <w:spacing w:beforeLines="50" w:afterLines="50"/>
        <w:rPr>
          <w:rFonts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Lines="5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（一）考试时间</w:t>
      </w:r>
    </w:p>
    <w:p>
      <w:pPr>
        <w:spacing w:line="400" w:lineRule="exact"/>
        <w:ind w:firstLine="420" w:firstLineChars="200"/>
        <w:rPr>
          <w:rFonts w:ascii="宋体" w:hAnsi="宋体" w:cs="宋体"/>
          <w:szCs w:val="21"/>
        </w:rPr>
      </w:pPr>
      <w:r>
        <w:rPr>
          <w:rFonts w:hint="eastAsia" w:ascii="宋体" w:hAnsi="宋体" w:cs="宋体"/>
          <w:szCs w:val="21"/>
        </w:rPr>
        <w:t>考试时间为180分钟。</w:t>
      </w:r>
    </w:p>
    <w:p>
      <w:pPr>
        <w:spacing w:beforeLines="5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（二）答题方式</w:t>
      </w:r>
    </w:p>
    <w:p>
      <w:pPr>
        <w:spacing w:line="400" w:lineRule="exact"/>
        <w:ind w:firstLine="420" w:firstLineChars="200"/>
        <w:rPr>
          <w:rFonts w:ascii="宋体" w:hAnsi="宋体" w:cs="宋体"/>
          <w:szCs w:val="21"/>
        </w:rPr>
      </w:pPr>
      <w:r>
        <w:rPr>
          <w:rFonts w:hint="eastAsia" w:ascii="宋体" w:hAnsi="宋体" w:cs="宋体"/>
          <w:szCs w:val="21"/>
        </w:rPr>
        <w:t>答题方式为闭卷、笔试。</w:t>
      </w:r>
    </w:p>
    <w:p>
      <w:pPr>
        <w:spacing w:line="400" w:lineRule="exact"/>
        <w:ind w:firstLine="420" w:firstLineChars="200"/>
        <w:rPr>
          <w:rFonts w:ascii="宋体" w:hAnsi="宋体" w:cs="宋体"/>
          <w:szCs w:val="21"/>
        </w:rPr>
      </w:pPr>
      <w:r>
        <w:rPr>
          <w:rFonts w:hint="eastAsia" w:ascii="宋体" w:hAnsi="宋体" w:cs="宋体"/>
          <w:szCs w:val="21"/>
        </w:rPr>
        <w:t>试卷由试题和答题纸组成。答案必须写在答题纸相应的位置上。</w:t>
      </w:r>
    </w:p>
    <w:p>
      <w:pPr>
        <w:spacing w:beforeLines="5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（三）试卷满分及考查内容分数分配</w:t>
      </w:r>
    </w:p>
    <w:p>
      <w:pPr>
        <w:spacing w:line="400" w:lineRule="exact"/>
        <w:ind w:firstLine="420" w:firstLineChars="200"/>
        <w:rPr>
          <w:rFonts w:ascii="仿宋_GB2312" w:hAnsi="宋体" w:eastAsia="仿宋_GB2312"/>
          <w:sz w:val="24"/>
          <w:szCs w:val="21"/>
        </w:rPr>
      </w:pPr>
      <w:r>
        <w:rPr>
          <w:rFonts w:hint="eastAsia" w:ascii="宋体" w:hAnsi="宋体" w:cs="宋体"/>
          <w:szCs w:val="21"/>
        </w:rPr>
        <w:t>试卷满分为150分。其中：食品卫生与安全控制基础50分，食品安全管理与法规50分，食品分析与检验50分。</w:t>
      </w:r>
    </w:p>
    <w:p>
      <w:pPr>
        <w:spacing w:beforeLines="50" w:afterLines="50" w:line="400" w:lineRule="exact"/>
        <w:ind w:firstLine="320" w:firstLineChars="100"/>
        <w:rPr>
          <w:rFonts w:ascii="微软雅黑" w:hAnsi="微软雅黑" w:eastAsia="微软雅黑"/>
          <w:b/>
          <w:sz w:val="32"/>
        </w:rPr>
      </w:pPr>
      <w:r>
        <w:rPr>
          <w:rFonts w:hint="eastAsia" w:ascii="微软雅黑" w:hAnsi="微软雅黑" w:eastAsia="微软雅黑"/>
          <w:b/>
          <w:sz w:val="32"/>
        </w:rPr>
        <w:t>（四）试卷题型比例</w:t>
      </w:r>
    </w:p>
    <w:p>
      <w:pPr>
        <w:spacing w:line="400" w:lineRule="exact"/>
        <w:ind w:firstLine="420" w:firstLineChars="200"/>
        <w:rPr>
          <w:rFonts w:ascii="宋体" w:hAnsi="宋体" w:cs="宋体"/>
          <w:szCs w:val="21"/>
        </w:rPr>
      </w:pPr>
      <w:r>
        <w:rPr>
          <w:rFonts w:hint="eastAsia" w:ascii="宋体" w:hAnsi="宋体" w:cs="宋体"/>
          <w:szCs w:val="21"/>
        </w:rPr>
        <w:t>食品卫生与安全控制基础   50分</w:t>
      </w:r>
    </w:p>
    <w:p>
      <w:pPr>
        <w:spacing w:line="400" w:lineRule="exact"/>
        <w:ind w:firstLine="420" w:firstLineChars="200"/>
        <w:rPr>
          <w:rFonts w:ascii="宋体" w:hAnsi="宋体" w:cs="宋体"/>
          <w:szCs w:val="21"/>
        </w:rPr>
      </w:pPr>
      <w:r>
        <w:rPr>
          <w:rFonts w:hint="eastAsia" w:ascii="宋体" w:hAnsi="宋体" w:cs="宋体"/>
          <w:szCs w:val="21"/>
        </w:rPr>
        <w:t>填空题：              10空 每空1分      共10分</w:t>
      </w:r>
    </w:p>
    <w:p>
      <w:pPr>
        <w:spacing w:line="400" w:lineRule="exact"/>
        <w:ind w:firstLine="420" w:firstLineChars="200"/>
        <w:rPr>
          <w:rFonts w:ascii="宋体" w:hAnsi="宋体" w:cs="宋体"/>
          <w:szCs w:val="21"/>
        </w:rPr>
      </w:pPr>
      <w:r>
        <w:rPr>
          <w:rFonts w:hint="eastAsia" w:ascii="宋体" w:hAnsi="宋体" w:cs="宋体"/>
          <w:szCs w:val="21"/>
        </w:rPr>
        <w:t>判断题：              10题 每题1分      共10分</w:t>
      </w:r>
    </w:p>
    <w:p>
      <w:pPr>
        <w:spacing w:line="400" w:lineRule="exact"/>
        <w:ind w:firstLine="420" w:firstLineChars="200"/>
        <w:rPr>
          <w:rFonts w:ascii="宋体" w:hAnsi="宋体" w:cs="宋体"/>
          <w:szCs w:val="21"/>
        </w:rPr>
      </w:pPr>
      <w:r>
        <w:rPr>
          <w:rFonts w:hint="eastAsia" w:ascii="宋体" w:hAnsi="宋体" w:cs="宋体"/>
          <w:szCs w:val="21"/>
        </w:rPr>
        <w:t>简答题：               4题 每小题5分    共20分</w:t>
      </w:r>
    </w:p>
    <w:p>
      <w:pPr>
        <w:spacing w:line="400" w:lineRule="exact"/>
        <w:ind w:firstLine="420" w:firstLineChars="200"/>
        <w:rPr>
          <w:rFonts w:ascii="宋体" w:hAnsi="宋体" w:cs="宋体"/>
          <w:szCs w:val="21"/>
        </w:rPr>
      </w:pPr>
      <w:r>
        <w:rPr>
          <w:rFonts w:hint="eastAsia" w:ascii="宋体" w:hAnsi="宋体" w:cs="宋体"/>
          <w:szCs w:val="21"/>
        </w:rPr>
        <w:t>论述题：               1 题，每小题10分，共10分</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食品安全管理与法规   50分</w:t>
      </w:r>
    </w:p>
    <w:p>
      <w:pPr>
        <w:spacing w:line="400" w:lineRule="exact"/>
        <w:ind w:firstLine="420" w:firstLineChars="200"/>
        <w:rPr>
          <w:rFonts w:ascii="宋体" w:hAnsi="宋体" w:cs="宋体"/>
          <w:szCs w:val="21"/>
        </w:rPr>
      </w:pPr>
      <w:r>
        <w:rPr>
          <w:rFonts w:hint="eastAsia" w:ascii="宋体" w:hAnsi="宋体" w:cs="宋体"/>
          <w:szCs w:val="21"/>
        </w:rPr>
        <w:t>填空题：              10空 每空1分      共10分</w:t>
      </w:r>
    </w:p>
    <w:p>
      <w:pPr>
        <w:spacing w:line="400" w:lineRule="exact"/>
        <w:ind w:firstLine="420" w:firstLineChars="200"/>
        <w:rPr>
          <w:rFonts w:ascii="宋体" w:hAnsi="宋体" w:cs="宋体"/>
          <w:szCs w:val="21"/>
        </w:rPr>
      </w:pPr>
      <w:r>
        <w:rPr>
          <w:rFonts w:hint="eastAsia" w:ascii="宋体" w:hAnsi="宋体" w:cs="宋体"/>
          <w:szCs w:val="21"/>
        </w:rPr>
        <w:t>判断题：              10题 每题1分      共10分</w:t>
      </w:r>
    </w:p>
    <w:p>
      <w:pPr>
        <w:spacing w:line="400" w:lineRule="exact"/>
        <w:ind w:firstLine="420" w:firstLineChars="200"/>
        <w:rPr>
          <w:rFonts w:ascii="宋体" w:hAnsi="宋体" w:cs="宋体"/>
          <w:szCs w:val="21"/>
        </w:rPr>
      </w:pPr>
      <w:r>
        <w:rPr>
          <w:rFonts w:hint="eastAsia" w:ascii="宋体" w:hAnsi="宋体" w:cs="宋体"/>
          <w:szCs w:val="21"/>
        </w:rPr>
        <w:t>简答题：               4题 每小题5分    共20分</w:t>
      </w:r>
    </w:p>
    <w:p>
      <w:pPr>
        <w:spacing w:line="400" w:lineRule="exact"/>
        <w:ind w:firstLine="420" w:firstLineChars="200"/>
        <w:rPr>
          <w:rFonts w:ascii="宋体" w:hAnsi="宋体" w:cs="宋体"/>
          <w:szCs w:val="21"/>
        </w:rPr>
      </w:pPr>
      <w:r>
        <w:rPr>
          <w:rFonts w:hint="eastAsia" w:ascii="宋体" w:hAnsi="宋体" w:cs="宋体"/>
          <w:szCs w:val="21"/>
        </w:rPr>
        <w:t>论述题：               1 题，每小题10分，共10分</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食品分析与检验   50分</w:t>
      </w:r>
    </w:p>
    <w:p>
      <w:pPr>
        <w:spacing w:line="400" w:lineRule="exact"/>
        <w:ind w:firstLine="420" w:firstLineChars="200"/>
        <w:rPr>
          <w:rFonts w:ascii="宋体" w:hAnsi="宋体" w:cs="宋体"/>
          <w:szCs w:val="21"/>
        </w:rPr>
      </w:pPr>
      <w:r>
        <w:rPr>
          <w:rFonts w:hint="eastAsia" w:ascii="宋体" w:hAnsi="宋体" w:cs="宋体"/>
          <w:szCs w:val="21"/>
        </w:rPr>
        <w:t>填空题：              10空 每空1分      共10分</w:t>
      </w:r>
    </w:p>
    <w:p>
      <w:pPr>
        <w:spacing w:line="400" w:lineRule="exact"/>
        <w:ind w:firstLine="420" w:firstLineChars="200"/>
        <w:rPr>
          <w:rFonts w:ascii="宋体" w:hAnsi="宋体" w:cs="宋体"/>
          <w:szCs w:val="21"/>
        </w:rPr>
      </w:pPr>
      <w:r>
        <w:rPr>
          <w:rFonts w:hint="eastAsia" w:ascii="宋体" w:hAnsi="宋体" w:cs="宋体"/>
          <w:szCs w:val="21"/>
        </w:rPr>
        <w:t>判断题：              10题 每题1分      共10分</w:t>
      </w:r>
    </w:p>
    <w:p>
      <w:pPr>
        <w:spacing w:line="400" w:lineRule="exact"/>
        <w:ind w:firstLine="420" w:firstLineChars="200"/>
        <w:rPr>
          <w:rFonts w:ascii="宋体" w:hAnsi="宋体" w:cs="宋体"/>
          <w:szCs w:val="21"/>
        </w:rPr>
      </w:pPr>
      <w:r>
        <w:rPr>
          <w:rFonts w:hint="eastAsia" w:ascii="宋体" w:hAnsi="宋体" w:cs="宋体"/>
          <w:szCs w:val="21"/>
        </w:rPr>
        <w:t>简答题：               4题 每小题5分    共20分</w:t>
      </w:r>
    </w:p>
    <w:p>
      <w:pPr>
        <w:spacing w:line="400" w:lineRule="exact"/>
        <w:ind w:firstLine="420" w:firstLineChars="200"/>
        <w:rPr>
          <w:rFonts w:ascii="宋体" w:hAnsi="宋体" w:cs="宋体"/>
          <w:szCs w:val="21"/>
        </w:rPr>
      </w:pPr>
      <w:r>
        <w:rPr>
          <w:rFonts w:hint="eastAsia" w:ascii="宋体" w:hAnsi="宋体" w:cs="宋体"/>
          <w:szCs w:val="21"/>
        </w:rPr>
        <w:t>论述题：               1 题，每小题10分，共10分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656319"/>
    <w:multiLevelType w:val="singleLevel"/>
    <w:tmpl w:val="4B656319"/>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Yjk5MTkzY2U3M2E1ZDAzZjUxYTI2Nzg5NmZiNzcifQ=="/>
  </w:docVars>
  <w:rsids>
    <w:rsidRoot w:val="00C5548E"/>
    <w:rsid w:val="00017D54"/>
    <w:rsid w:val="00032713"/>
    <w:rsid w:val="000330BB"/>
    <w:rsid w:val="00034644"/>
    <w:rsid w:val="00036194"/>
    <w:rsid w:val="00046C36"/>
    <w:rsid w:val="00052AD5"/>
    <w:rsid w:val="0005773A"/>
    <w:rsid w:val="00061B7C"/>
    <w:rsid w:val="0007483A"/>
    <w:rsid w:val="00080A8F"/>
    <w:rsid w:val="00081950"/>
    <w:rsid w:val="000E66FB"/>
    <w:rsid w:val="00100B7E"/>
    <w:rsid w:val="00110263"/>
    <w:rsid w:val="00152FC6"/>
    <w:rsid w:val="00157158"/>
    <w:rsid w:val="001605B4"/>
    <w:rsid w:val="001727D1"/>
    <w:rsid w:val="00174ADA"/>
    <w:rsid w:val="0018553B"/>
    <w:rsid w:val="00186774"/>
    <w:rsid w:val="001902D6"/>
    <w:rsid w:val="00190807"/>
    <w:rsid w:val="001A7334"/>
    <w:rsid w:val="001D0CCE"/>
    <w:rsid w:val="001D31CF"/>
    <w:rsid w:val="001D3BB5"/>
    <w:rsid w:val="001E5DC7"/>
    <w:rsid w:val="0020035A"/>
    <w:rsid w:val="0022353C"/>
    <w:rsid w:val="00233CD6"/>
    <w:rsid w:val="00234B0E"/>
    <w:rsid w:val="002361C3"/>
    <w:rsid w:val="00242563"/>
    <w:rsid w:val="00246EEC"/>
    <w:rsid w:val="00256301"/>
    <w:rsid w:val="00257EAF"/>
    <w:rsid w:val="00264124"/>
    <w:rsid w:val="00267E9E"/>
    <w:rsid w:val="00283C7F"/>
    <w:rsid w:val="00287E34"/>
    <w:rsid w:val="0029258D"/>
    <w:rsid w:val="00295D00"/>
    <w:rsid w:val="002B25BB"/>
    <w:rsid w:val="002D27DC"/>
    <w:rsid w:val="002E7F9E"/>
    <w:rsid w:val="002F2DB3"/>
    <w:rsid w:val="002F3645"/>
    <w:rsid w:val="002F625F"/>
    <w:rsid w:val="003047EA"/>
    <w:rsid w:val="00306735"/>
    <w:rsid w:val="00313C23"/>
    <w:rsid w:val="00362618"/>
    <w:rsid w:val="00364632"/>
    <w:rsid w:val="0036572F"/>
    <w:rsid w:val="00384CF6"/>
    <w:rsid w:val="0038614F"/>
    <w:rsid w:val="00391344"/>
    <w:rsid w:val="003A3A40"/>
    <w:rsid w:val="003A4B4B"/>
    <w:rsid w:val="003B298B"/>
    <w:rsid w:val="003C32BA"/>
    <w:rsid w:val="003D4145"/>
    <w:rsid w:val="003E398E"/>
    <w:rsid w:val="003F39EC"/>
    <w:rsid w:val="004161D5"/>
    <w:rsid w:val="00424B28"/>
    <w:rsid w:val="00436E70"/>
    <w:rsid w:val="00440E96"/>
    <w:rsid w:val="0044372C"/>
    <w:rsid w:val="00462CB4"/>
    <w:rsid w:val="004711E8"/>
    <w:rsid w:val="0048685F"/>
    <w:rsid w:val="004A4B33"/>
    <w:rsid w:val="004A7259"/>
    <w:rsid w:val="004B2869"/>
    <w:rsid w:val="004B438C"/>
    <w:rsid w:val="004C6469"/>
    <w:rsid w:val="004C6B1A"/>
    <w:rsid w:val="004D1CEC"/>
    <w:rsid w:val="004D3DB4"/>
    <w:rsid w:val="004D4BC2"/>
    <w:rsid w:val="004D4F69"/>
    <w:rsid w:val="004F16A9"/>
    <w:rsid w:val="004F4985"/>
    <w:rsid w:val="00531365"/>
    <w:rsid w:val="0055471D"/>
    <w:rsid w:val="0056521C"/>
    <w:rsid w:val="00574A18"/>
    <w:rsid w:val="005A0E98"/>
    <w:rsid w:val="005A20EF"/>
    <w:rsid w:val="005A2DF0"/>
    <w:rsid w:val="005A4BD9"/>
    <w:rsid w:val="005A5631"/>
    <w:rsid w:val="005A6EC4"/>
    <w:rsid w:val="005A7694"/>
    <w:rsid w:val="005B3310"/>
    <w:rsid w:val="005D3D4D"/>
    <w:rsid w:val="005E6E02"/>
    <w:rsid w:val="005E6EB3"/>
    <w:rsid w:val="00602AF7"/>
    <w:rsid w:val="00606C9F"/>
    <w:rsid w:val="00612CC8"/>
    <w:rsid w:val="006243BC"/>
    <w:rsid w:val="00637AED"/>
    <w:rsid w:val="006511B3"/>
    <w:rsid w:val="00684B72"/>
    <w:rsid w:val="00693B77"/>
    <w:rsid w:val="006A14C6"/>
    <w:rsid w:val="006E1C7C"/>
    <w:rsid w:val="006E550A"/>
    <w:rsid w:val="0071443B"/>
    <w:rsid w:val="007162BF"/>
    <w:rsid w:val="00721228"/>
    <w:rsid w:val="0073104B"/>
    <w:rsid w:val="00734775"/>
    <w:rsid w:val="0075269C"/>
    <w:rsid w:val="00782019"/>
    <w:rsid w:val="00785B8B"/>
    <w:rsid w:val="007925C9"/>
    <w:rsid w:val="007A1AAF"/>
    <w:rsid w:val="007C3242"/>
    <w:rsid w:val="007E647B"/>
    <w:rsid w:val="007F0729"/>
    <w:rsid w:val="00812033"/>
    <w:rsid w:val="0081412F"/>
    <w:rsid w:val="00820E97"/>
    <w:rsid w:val="00832F9F"/>
    <w:rsid w:val="008444C5"/>
    <w:rsid w:val="00855DFE"/>
    <w:rsid w:val="008610A1"/>
    <w:rsid w:val="008661B5"/>
    <w:rsid w:val="00885D7C"/>
    <w:rsid w:val="00886A4F"/>
    <w:rsid w:val="00890484"/>
    <w:rsid w:val="008A79D6"/>
    <w:rsid w:val="008B2110"/>
    <w:rsid w:val="008C0C74"/>
    <w:rsid w:val="008D1718"/>
    <w:rsid w:val="008D1BFE"/>
    <w:rsid w:val="009012EE"/>
    <w:rsid w:val="009014A2"/>
    <w:rsid w:val="00925E42"/>
    <w:rsid w:val="009359A3"/>
    <w:rsid w:val="00946C09"/>
    <w:rsid w:val="00963165"/>
    <w:rsid w:val="009658AD"/>
    <w:rsid w:val="00987022"/>
    <w:rsid w:val="00991BB6"/>
    <w:rsid w:val="00996A84"/>
    <w:rsid w:val="009A37EF"/>
    <w:rsid w:val="009A65F3"/>
    <w:rsid w:val="009A7647"/>
    <w:rsid w:val="009A7F8C"/>
    <w:rsid w:val="009D45E0"/>
    <w:rsid w:val="009D77EB"/>
    <w:rsid w:val="009F5A8E"/>
    <w:rsid w:val="00A0610F"/>
    <w:rsid w:val="00A1743E"/>
    <w:rsid w:val="00A63AB0"/>
    <w:rsid w:val="00A70F62"/>
    <w:rsid w:val="00A73F47"/>
    <w:rsid w:val="00A76449"/>
    <w:rsid w:val="00A95F39"/>
    <w:rsid w:val="00AA3680"/>
    <w:rsid w:val="00AA6552"/>
    <w:rsid w:val="00AB16CF"/>
    <w:rsid w:val="00AD0480"/>
    <w:rsid w:val="00AE73B4"/>
    <w:rsid w:val="00B13E6C"/>
    <w:rsid w:val="00B24475"/>
    <w:rsid w:val="00B27EAC"/>
    <w:rsid w:val="00B34933"/>
    <w:rsid w:val="00B50159"/>
    <w:rsid w:val="00B53E81"/>
    <w:rsid w:val="00B620D1"/>
    <w:rsid w:val="00B66494"/>
    <w:rsid w:val="00B66AC4"/>
    <w:rsid w:val="00B740BC"/>
    <w:rsid w:val="00B7652E"/>
    <w:rsid w:val="00B82B05"/>
    <w:rsid w:val="00B85740"/>
    <w:rsid w:val="00B96965"/>
    <w:rsid w:val="00BA0BFC"/>
    <w:rsid w:val="00BB0479"/>
    <w:rsid w:val="00BD637D"/>
    <w:rsid w:val="00BF2165"/>
    <w:rsid w:val="00BF2E6A"/>
    <w:rsid w:val="00BF3AC0"/>
    <w:rsid w:val="00BF6DFF"/>
    <w:rsid w:val="00BF73F9"/>
    <w:rsid w:val="00C31C14"/>
    <w:rsid w:val="00C52B40"/>
    <w:rsid w:val="00C5548E"/>
    <w:rsid w:val="00C55BDB"/>
    <w:rsid w:val="00C624B8"/>
    <w:rsid w:val="00C67A6D"/>
    <w:rsid w:val="00C718AE"/>
    <w:rsid w:val="00C9077E"/>
    <w:rsid w:val="00C93C79"/>
    <w:rsid w:val="00CB1A0F"/>
    <w:rsid w:val="00CC50AD"/>
    <w:rsid w:val="00CC6883"/>
    <w:rsid w:val="00CE5111"/>
    <w:rsid w:val="00CF03BF"/>
    <w:rsid w:val="00D02FA3"/>
    <w:rsid w:val="00D10550"/>
    <w:rsid w:val="00D26398"/>
    <w:rsid w:val="00D33272"/>
    <w:rsid w:val="00D35524"/>
    <w:rsid w:val="00D41AC5"/>
    <w:rsid w:val="00D52C21"/>
    <w:rsid w:val="00D6308F"/>
    <w:rsid w:val="00D708D4"/>
    <w:rsid w:val="00D73A36"/>
    <w:rsid w:val="00D76514"/>
    <w:rsid w:val="00D77A7A"/>
    <w:rsid w:val="00D822F6"/>
    <w:rsid w:val="00DA5686"/>
    <w:rsid w:val="00DA68D7"/>
    <w:rsid w:val="00DB27E4"/>
    <w:rsid w:val="00DB5436"/>
    <w:rsid w:val="00DC466E"/>
    <w:rsid w:val="00DD16CA"/>
    <w:rsid w:val="00DF310C"/>
    <w:rsid w:val="00E0645D"/>
    <w:rsid w:val="00E1099D"/>
    <w:rsid w:val="00E24D13"/>
    <w:rsid w:val="00E3567F"/>
    <w:rsid w:val="00E42155"/>
    <w:rsid w:val="00E63B20"/>
    <w:rsid w:val="00E71A59"/>
    <w:rsid w:val="00E90D72"/>
    <w:rsid w:val="00E961EE"/>
    <w:rsid w:val="00EA5031"/>
    <w:rsid w:val="00EB1EF0"/>
    <w:rsid w:val="00EB3412"/>
    <w:rsid w:val="00ED256A"/>
    <w:rsid w:val="00EF1E87"/>
    <w:rsid w:val="00EF48FD"/>
    <w:rsid w:val="00F02449"/>
    <w:rsid w:val="00F05429"/>
    <w:rsid w:val="00F144BF"/>
    <w:rsid w:val="00F20415"/>
    <w:rsid w:val="00F55E5B"/>
    <w:rsid w:val="00F763C2"/>
    <w:rsid w:val="00F77A6A"/>
    <w:rsid w:val="00FB1ED4"/>
    <w:rsid w:val="00FC647F"/>
    <w:rsid w:val="00FE334E"/>
    <w:rsid w:val="00FE3A0D"/>
    <w:rsid w:val="015753FA"/>
    <w:rsid w:val="05850A2A"/>
    <w:rsid w:val="0757624F"/>
    <w:rsid w:val="0C346B5F"/>
    <w:rsid w:val="0CFD7147"/>
    <w:rsid w:val="1B981D26"/>
    <w:rsid w:val="203F4FB4"/>
    <w:rsid w:val="24A9396E"/>
    <w:rsid w:val="33802F1D"/>
    <w:rsid w:val="36B032F2"/>
    <w:rsid w:val="3F5EF348"/>
    <w:rsid w:val="422A5E1B"/>
    <w:rsid w:val="47C162F9"/>
    <w:rsid w:val="55FAFB9E"/>
    <w:rsid w:val="57C235D2"/>
    <w:rsid w:val="5EA76BF1"/>
    <w:rsid w:val="715745BA"/>
    <w:rsid w:val="73EFFCCD"/>
    <w:rsid w:val="73F726D2"/>
    <w:rsid w:val="74AA1100"/>
    <w:rsid w:val="77B9DCA1"/>
    <w:rsid w:val="79332FE0"/>
    <w:rsid w:val="7DBB527C"/>
    <w:rsid w:val="7F1B3D1A"/>
    <w:rsid w:val="D2BE2B63"/>
    <w:rsid w:val="F9FF28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qFormat="1" w:unhideWhenUsed="0" w:uiPriority="99" w:semiHidden="0" w:name="Table Simple 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qFormat="1" w:unhideWhenUsed="0" w:uiPriority="99" w:semiHidden="0" w:name="Table List 3"/>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14"/>
    <w:unhideWhenUsed/>
    <w:qFormat/>
    <w:locked/>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rPr>
  </w:style>
  <w:style w:type="table" w:styleId="7">
    <w:name w:val="Table Grid"/>
    <w:basedOn w:val="6"/>
    <w:qFormat/>
    <w:uiPriority w:val="99"/>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Table Simple 1"/>
    <w:basedOn w:val="6"/>
    <w:qFormat/>
    <w:uiPriority w:val="99"/>
    <w:pPr>
      <w:widowControl w:val="0"/>
      <w:jc w:val="both"/>
    </w:pPr>
    <w:tblPr>
      <w:tblStyle w:val="6"/>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blStyle w:val="6"/>
      </w:tblPr>
      <w:tcPr>
        <w:tcBorders>
          <w:top w:val="nil"/>
          <w:left w:val="single" w:color="008000" w:sz="6" w:space="0"/>
          <w:bottom w:val="nil"/>
          <w:right w:val="nil"/>
          <w:insideH w:val="nil"/>
          <w:insideV w:val="nil"/>
          <w:tl2br w:val="nil"/>
          <w:tr2bl w:val="nil"/>
        </w:tcBorders>
      </w:tcPr>
    </w:tblStylePr>
    <w:tblStylePr w:type="lastRow">
      <w:rPr>
        <w:rFonts w:cs="Times New Roman"/>
      </w:rPr>
      <w:tblPr>
        <w:tblStyle w:val="6"/>
      </w:tblPr>
      <w:tcPr>
        <w:tcBorders>
          <w:top w:val="single" w:color="008000" w:sz="6" w:space="0"/>
          <w:left w:val="nil"/>
          <w:bottom w:val="nil"/>
          <w:right w:val="nil"/>
          <w:insideH w:val="nil"/>
          <w:insideV w:val="nil"/>
          <w:tl2br w:val="nil"/>
          <w:tr2bl w:val="nil"/>
        </w:tcBorders>
      </w:tcPr>
    </w:tblStylePr>
  </w:style>
  <w:style w:type="table" w:styleId="9">
    <w:name w:val="Table List 3"/>
    <w:basedOn w:val="6"/>
    <w:qFormat/>
    <w:uiPriority w:val="99"/>
    <w:pPr>
      <w:widowControl w:val="0"/>
      <w:jc w:val="both"/>
    </w:pPr>
    <w:tblPr>
      <w:tblStyle w:val="6"/>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blStyle w:val="6"/>
      </w:tblPr>
      <w:tcPr>
        <w:tcBorders>
          <w:top w:val="nil"/>
          <w:left w:val="single" w:color="000000" w:sz="12" w:space="0"/>
          <w:bottom w:val="nil"/>
          <w:right w:val="nil"/>
          <w:insideH w:val="nil"/>
          <w:insideV w:val="nil"/>
          <w:tl2br w:val="nil"/>
          <w:tr2bl w:val="nil"/>
        </w:tcBorders>
      </w:tcPr>
    </w:tblStylePr>
    <w:tblStylePr w:type="lastRow">
      <w:rPr>
        <w:rFonts w:cs="Times New Roman"/>
      </w:rPr>
      <w:tblPr>
        <w:tblStyle w:val="6"/>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blStyle w:val="6"/>
      </w:tblPr>
      <w:tcPr>
        <w:tcBorders>
          <w:top w:val="nil"/>
          <w:left w:val="nil"/>
          <w:bottom w:val="nil"/>
          <w:right w:val="nil"/>
          <w:insideH w:val="nil"/>
          <w:insideV w:val="nil"/>
          <w:tl2br w:val="nil"/>
          <w:tr2bl w:val="nil"/>
        </w:tcBorders>
      </w:tcPr>
    </w:tblStylePr>
  </w:style>
  <w:style w:type="character" w:styleId="11">
    <w:name w:val="Strong"/>
    <w:basedOn w:val="10"/>
    <w:qFormat/>
    <w:uiPriority w:val="99"/>
    <w:rPr>
      <w:rFonts w:cs="Times New Roman"/>
      <w:b/>
    </w:rPr>
  </w:style>
  <w:style w:type="character" w:styleId="12">
    <w:name w:val="page number"/>
    <w:basedOn w:val="10"/>
    <w:qFormat/>
    <w:uiPriority w:val="99"/>
    <w:rPr>
      <w:rFonts w:cs="Times New Roman"/>
    </w:rPr>
  </w:style>
  <w:style w:type="character" w:styleId="13">
    <w:name w:val="Emphasis"/>
    <w:basedOn w:val="10"/>
    <w:qFormat/>
    <w:uiPriority w:val="99"/>
    <w:rPr>
      <w:rFonts w:cs="Times New Roman"/>
      <w:color w:val="CC0033"/>
    </w:rPr>
  </w:style>
  <w:style w:type="character" w:customStyle="1" w:styleId="14">
    <w:name w:val="批注框文本 Char"/>
    <w:basedOn w:val="10"/>
    <w:link w:val="2"/>
    <w:semiHidden/>
    <w:qFormat/>
    <w:uiPriority w:val="99"/>
    <w:rPr>
      <w:kern w:val="2"/>
      <w:sz w:val="18"/>
      <w:szCs w:val="18"/>
    </w:rPr>
  </w:style>
  <w:style w:type="character" w:customStyle="1" w:styleId="15">
    <w:name w:val="页脚 Char"/>
    <w:basedOn w:val="10"/>
    <w:link w:val="3"/>
    <w:semiHidden/>
    <w:qFormat/>
    <w:locked/>
    <w:uiPriority w:val="99"/>
    <w:rPr>
      <w:rFonts w:cs="Times New Roman"/>
      <w:sz w:val="18"/>
      <w:szCs w:val="18"/>
    </w:rPr>
  </w:style>
  <w:style w:type="character" w:customStyle="1" w:styleId="16">
    <w:name w:val="页眉 Char"/>
    <w:basedOn w:val="10"/>
    <w:link w:val="4"/>
    <w:qFormat/>
    <w:locked/>
    <w:uiPriority w:val="99"/>
    <w:rPr>
      <w:rFonts w:cs="Times New Roman"/>
      <w:kern w:val="2"/>
      <w:sz w:val="18"/>
    </w:r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p01"/>
    <w:basedOn w:val="1"/>
    <w:qFormat/>
    <w:uiPriority w:val="99"/>
    <w:pPr>
      <w:widowControl/>
      <w:wordWrap w:val="0"/>
      <w:spacing w:before="150" w:after="100" w:afterAutospacing="1" w:line="432"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beida</Company>
  <Pages>4</Pages>
  <Words>2195</Words>
  <Characters>416</Characters>
  <Lines>3</Lines>
  <Paragraphs>5</Paragraphs>
  <TotalTime>4.33333333333333</TotalTime>
  <ScaleCrop>false</ScaleCrop>
  <LinksUpToDate>false</LinksUpToDate>
  <CharactersWithSpaces>2606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2016-06-30T02:23:00Z</dcterms:created>
  <dc:creator>zhuxiaoya</dc:creator>
  <cp:lastModifiedBy>vertesyuan</cp:lastModifiedBy>
  <cp:lastPrinted>2009-09-25T06:35:00Z</cp:lastPrinted>
  <dcterms:modified xsi:type="dcterms:W3CDTF">2023-12-06T02:15:05Z</dcterms:modified>
  <dc:title>汉语国际教育硕士入学考试大纲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EA948AFA47F24EB8BE1CF3586C0170FE_13</vt:lpwstr>
  </property>
</Properties>
</file>