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《公共政策分析》科目大纲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(科目代码：825)</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社会发展与公共管理学院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hint="eastAsia" w:ascii="仿宋_GB2312" w:hAnsi="宋体" w:eastAsia="仿宋_GB2312"/>
          <w:sz w:val="32"/>
          <w:szCs w:val="32"/>
          <w:u w:val="single"/>
          <w:lang w:val="en-US" w:eastAsia="zh-CN"/>
        </w:rPr>
        <w:t>3</w:t>
      </w:r>
      <w:r>
        <w:rPr>
          <w:rFonts w:hint="eastAsia" w:ascii="仿宋_GB2312" w:hAnsi="宋体" w:eastAsia="仿宋_GB2312"/>
          <w:sz w:val="32"/>
          <w:szCs w:val="32"/>
          <w:u w:val="single"/>
        </w:rPr>
        <w:t>年</w:t>
      </w:r>
      <w:r>
        <w:rPr>
          <w:rFonts w:ascii="仿宋_GB2312" w:hAnsi="宋体" w:eastAsia="仿宋_GB2312"/>
          <w:sz w:val="32"/>
          <w:szCs w:val="32"/>
          <w:u w:val="single"/>
        </w:rPr>
        <w:t>6</w:t>
      </w:r>
      <w:r>
        <w:rPr>
          <w:rFonts w:hint="eastAsia" w:ascii="仿宋_GB2312" w:hAnsi="宋体" w:eastAsia="仿宋_GB2312"/>
          <w:sz w:val="32"/>
          <w:szCs w:val="32"/>
          <w:u w:val="single"/>
        </w:rPr>
        <w:t>月</w:t>
      </w:r>
      <w:r>
        <w:rPr>
          <w:rFonts w:hint="eastAsia" w:ascii="仿宋_GB2312" w:hAnsi="宋体" w:eastAsia="仿宋_GB2312"/>
          <w:sz w:val="32"/>
          <w:szCs w:val="32"/>
          <w:u w:val="single"/>
          <w:lang w:val="en-US" w:eastAsia="zh-CN"/>
        </w:rPr>
        <w:t>12</w:t>
      </w:r>
      <w:r>
        <w:rPr>
          <w:rFonts w:hint="eastAsia" w:ascii="仿宋_GB2312" w:hAnsi="宋体" w:eastAsia="仿宋_GB2312"/>
          <w:sz w:val="32"/>
          <w:szCs w:val="32"/>
          <w:u w:val="single"/>
        </w:rPr>
        <w:t xml:space="preserve">日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rPr>
          <w:rFonts w:hint="eastAsia" w:ascii="黑体" w:hAnsi="华文中宋" w:eastAsia="黑体"/>
          <w:b/>
          <w:sz w:val="30"/>
          <w:szCs w:val="30"/>
        </w:rPr>
      </w:pPr>
    </w:p>
    <w:p>
      <w:pPr>
        <w:widowControl/>
        <w:jc w:val="center"/>
        <w:rPr>
          <w:rFonts w:hint="eastAsia" w:ascii="黑体" w:hAnsi="华文中宋" w:eastAsia="黑体"/>
          <w:b/>
          <w:sz w:val="30"/>
          <w:szCs w:val="30"/>
        </w:rPr>
      </w:pPr>
    </w:p>
    <w:p>
      <w:pPr>
        <w:widowControl/>
        <w:jc w:val="center"/>
        <w:rPr>
          <w:rFonts w:hint="eastAsia" w:ascii="黑体" w:hAnsi="华文中宋" w:eastAsia="黑体"/>
          <w:b/>
          <w:sz w:val="30"/>
          <w:szCs w:val="30"/>
        </w:rPr>
      </w:pPr>
    </w:p>
    <w:p>
      <w:pPr>
        <w:widowControl/>
        <w:jc w:val="center"/>
        <w:rPr>
          <w:rFonts w:hint="eastAsia" w:ascii="黑体" w:hAnsi="华文中宋" w:eastAsia="黑体"/>
          <w:b/>
          <w:sz w:val="30"/>
          <w:szCs w:val="30"/>
        </w:rPr>
      </w:pPr>
      <w:r>
        <w:rPr>
          <w:rFonts w:hint="eastAsia" w:ascii="黑体" w:hAnsi="华文中宋" w:eastAsia="黑体"/>
          <w:b/>
          <w:sz w:val="30"/>
          <w:szCs w:val="30"/>
        </w:rPr>
        <w:t>《</w:t>
      </w:r>
      <w:r>
        <w:rPr>
          <w:rFonts w:hint="eastAsia" w:ascii="黑体" w:hAnsi="宋体" w:eastAsia="黑体"/>
          <w:b/>
          <w:sz w:val="30"/>
          <w:szCs w:val="30"/>
        </w:rPr>
        <w:t>公共政策分析</w:t>
      </w:r>
      <w:r>
        <w:rPr>
          <w:rFonts w:hint="eastAsia" w:ascii="黑体" w:hAnsi="华文中宋" w:eastAsia="黑体"/>
          <w:b/>
          <w:sz w:val="30"/>
          <w:szCs w:val="30"/>
        </w:rPr>
        <w:t>》科目大纲</w:t>
      </w:r>
    </w:p>
    <w:p>
      <w:pPr>
        <w:widowControl/>
        <w:jc w:val="center"/>
        <w:rPr>
          <w:rFonts w:hint="eastAsia" w:ascii="黑体" w:hAnsi="宋体" w:eastAsia="黑体"/>
          <w:sz w:val="24"/>
        </w:rPr>
      </w:pPr>
      <w:r>
        <w:rPr>
          <w:rFonts w:hint="eastAsia" w:ascii="黑体" w:hAnsi="宋体" w:eastAsia="黑体"/>
          <w:b/>
          <w:sz w:val="48"/>
          <w:szCs w:val="48"/>
        </w:rPr>
        <w:t xml:space="preserve"> </w:t>
      </w:r>
      <w:r>
        <w:rPr>
          <w:rFonts w:hint="eastAsia" w:ascii="黑体" w:hAnsi="宋体" w:eastAsia="黑体"/>
          <w:sz w:val="24"/>
        </w:rPr>
        <w:t>(科目代码：825)</w:t>
      </w:r>
    </w:p>
    <w:p>
      <w:pPr>
        <w:widowControl/>
        <w:spacing w:line="520" w:lineRule="exact"/>
        <w:jc w:val="center"/>
        <w:rPr>
          <w:rFonts w:hint="eastAsia" w:ascii="仿宋_GB2312" w:hAnsi="宋体" w:eastAsia="仿宋_GB2312"/>
          <w:b/>
          <w:sz w:val="28"/>
          <w:szCs w:val="28"/>
        </w:rPr>
      </w:pP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spacing w:line="52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公共政策学》是公共管理专业学术型硕士学位研究生入学考试的科目之一。考试力求反映考生的基本素质和综合能力，选拔具有培养前途和发展潜力的优秀人才，从而为国家培养从事政治学教学、科研以及相关工作的高级专业人才。</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spacing w:before="100" w:beforeAutospacing="1" w:after="100" w:afterAutospacing="1" w:line="360" w:lineRule="auto"/>
        <w:ind w:firstLine="420" w:firstLineChars="200"/>
        <w:jc w:val="left"/>
        <w:rPr>
          <w:rFonts w:hint="eastAsia" w:ascii="仿宋_GB2312" w:hAnsi="宋体" w:eastAsia="仿宋_GB2312" w:cs="宋体"/>
          <w:color w:val="222222"/>
          <w:kern w:val="0"/>
          <w:szCs w:val="21"/>
        </w:rPr>
      </w:pPr>
      <w:r>
        <w:rPr>
          <w:rFonts w:hint="eastAsia" w:ascii="仿宋_GB2312" w:hAnsi="宋体" w:eastAsia="仿宋_GB2312" w:cs="宋体"/>
          <w:color w:val="222222"/>
          <w:kern w:val="0"/>
          <w:szCs w:val="21"/>
        </w:rPr>
        <w:t>要求考生系统了解和掌握公共政策学的基础知识、基本概念、基本理论和基本技能，并能运用马克思主义与公共政策学的理论和方法来分析和解决现实政策问题的基本能力。</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spacing w:line="520" w:lineRule="exact"/>
        <w:ind w:firstLine="306" w:firstLineChars="145"/>
        <w:jc w:val="left"/>
        <w:rPr>
          <w:rFonts w:hint="eastAsia" w:ascii="仿宋_GB2312" w:hAnsi="宋体" w:eastAsia="仿宋_GB2312"/>
          <w:b/>
          <w:szCs w:val="21"/>
        </w:rPr>
      </w:pPr>
      <w:r>
        <w:rPr>
          <w:rFonts w:hint="eastAsia" w:ascii="仿宋_GB2312" w:hAnsi="宋体" w:eastAsia="仿宋_GB2312"/>
          <w:b/>
          <w:szCs w:val="21"/>
        </w:rPr>
        <w:t>第一部分：公共政策学</w:t>
      </w:r>
    </w:p>
    <w:p>
      <w:pPr>
        <w:widowControl/>
        <w:spacing w:line="520" w:lineRule="exact"/>
        <w:ind w:firstLine="306" w:firstLineChars="145"/>
        <w:jc w:val="left"/>
        <w:rPr>
          <w:rFonts w:hint="eastAsia" w:ascii="仿宋_GB2312" w:hAnsi="宋体" w:eastAsia="仿宋_GB2312"/>
          <w:b/>
          <w:szCs w:val="21"/>
        </w:rPr>
      </w:pPr>
      <w:r>
        <w:rPr>
          <w:rFonts w:hint="eastAsia" w:ascii="仿宋_GB2312" w:hAnsi="宋体" w:eastAsia="仿宋_GB2312"/>
          <w:b/>
          <w:szCs w:val="21"/>
        </w:rPr>
        <w:t>第一章  绪论</w:t>
      </w:r>
    </w:p>
    <w:p>
      <w:pPr>
        <w:widowControl/>
        <w:spacing w:line="520" w:lineRule="exact"/>
        <w:ind w:firstLine="735" w:firstLineChars="350"/>
        <w:jc w:val="left"/>
        <w:rPr>
          <w:rFonts w:hint="eastAsia" w:ascii="仿宋_GB2312" w:hAnsi="宋体" w:eastAsia="仿宋_GB2312"/>
          <w:szCs w:val="21"/>
        </w:rPr>
      </w:pPr>
      <w:r>
        <w:rPr>
          <w:rFonts w:hint="eastAsia" w:ascii="仿宋_GB2312" w:hAnsi="宋体" w:eastAsia="仿宋_GB2312"/>
          <w:szCs w:val="21"/>
        </w:rPr>
        <w:t>一、公共政策的含义</w:t>
      </w:r>
    </w:p>
    <w:p>
      <w:pPr>
        <w:widowControl/>
        <w:spacing w:line="520" w:lineRule="exact"/>
        <w:ind w:firstLine="735" w:firstLineChars="350"/>
        <w:jc w:val="left"/>
        <w:rPr>
          <w:rFonts w:hint="eastAsia" w:ascii="仿宋_GB2312" w:hAnsi="宋体" w:eastAsia="仿宋_GB2312"/>
          <w:szCs w:val="21"/>
        </w:rPr>
      </w:pPr>
      <w:r>
        <w:rPr>
          <w:rFonts w:hint="eastAsia" w:ascii="仿宋_GB2312" w:hAnsi="宋体" w:eastAsia="仿宋_GB2312"/>
          <w:szCs w:val="21"/>
        </w:rPr>
        <w:t>二、公共政策的具体表现形式</w:t>
      </w:r>
    </w:p>
    <w:p>
      <w:pPr>
        <w:widowControl/>
        <w:spacing w:line="520" w:lineRule="exact"/>
        <w:ind w:firstLine="735" w:firstLineChars="350"/>
        <w:jc w:val="left"/>
        <w:rPr>
          <w:rFonts w:hint="eastAsia" w:ascii="仿宋_GB2312" w:hAnsi="宋体" w:eastAsia="仿宋_GB2312"/>
          <w:b/>
          <w:szCs w:val="21"/>
        </w:rPr>
      </w:pPr>
      <w:r>
        <w:rPr>
          <w:rFonts w:hint="eastAsia" w:ascii="仿宋_GB2312" w:hAnsi="宋体" w:eastAsia="仿宋_GB2312"/>
          <w:szCs w:val="21"/>
        </w:rPr>
        <w:t>三、公共政策的特征、类型和作用</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第二章  政策主体、政策客体与政策环境</w:t>
      </w:r>
    </w:p>
    <w:p>
      <w:pPr>
        <w:widowControl/>
        <w:spacing w:line="520" w:lineRule="exact"/>
        <w:ind w:left="630" w:leftChars="300" w:firstLine="105" w:firstLineChars="50"/>
        <w:jc w:val="left"/>
        <w:rPr>
          <w:rFonts w:hint="eastAsia" w:ascii="仿宋_GB2312" w:hAnsi="宋体" w:eastAsia="仿宋_GB2312"/>
          <w:szCs w:val="21"/>
        </w:rPr>
      </w:pPr>
      <w:r>
        <w:rPr>
          <w:rFonts w:hint="eastAsia" w:ascii="仿宋_GB2312" w:hAnsi="宋体" w:eastAsia="仿宋_GB2312"/>
          <w:szCs w:val="21"/>
        </w:rPr>
        <w:t>一、政策主体</w:t>
      </w:r>
    </w:p>
    <w:p>
      <w:pPr>
        <w:widowControl/>
        <w:spacing w:line="520" w:lineRule="exact"/>
        <w:ind w:firstLine="735" w:firstLineChars="350"/>
        <w:jc w:val="left"/>
        <w:rPr>
          <w:rFonts w:hint="eastAsia" w:ascii="仿宋_GB2312" w:hAnsi="宋体" w:eastAsia="仿宋_GB2312"/>
          <w:szCs w:val="21"/>
        </w:rPr>
      </w:pPr>
      <w:r>
        <w:rPr>
          <w:rFonts w:hint="eastAsia" w:ascii="仿宋_GB2312" w:hAnsi="宋体" w:eastAsia="仿宋_GB2312"/>
          <w:szCs w:val="21"/>
        </w:rPr>
        <w:t>二、政策客体</w:t>
      </w:r>
    </w:p>
    <w:p>
      <w:pPr>
        <w:widowControl/>
        <w:spacing w:line="520" w:lineRule="exact"/>
        <w:ind w:firstLine="735" w:firstLineChars="350"/>
        <w:jc w:val="left"/>
        <w:rPr>
          <w:rFonts w:hint="eastAsia" w:ascii="仿宋_GB2312" w:hAnsi="宋体" w:eastAsia="仿宋_GB2312"/>
          <w:szCs w:val="21"/>
        </w:rPr>
      </w:pPr>
      <w:r>
        <w:rPr>
          <w:rFonts w:hint="eastAsia" w:ascii="仿宋_GB2312" w:hAnsi="宋体" w:eastAsia="仿宋_GB2312"/>
          <w:szCs w:val="21"/>
        </w:rPr>
        <w:t>三、政策环境</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第三章  政策工具</w:t>
      </w:r>
    </w:p>
    <w:p>
      <w:pPr>
        <w:widowControl/>
        <w:spacing w:line="520" w:lineRule="exact"/>
        <w:ind w:left="540" w:leftChars="257" w:firstLine="210" w:firstLineChars="100"/>
        <w:jc w:val="left"/>
        <w:rPr>
          <w:rFonts w:hint="eastAsia" w:ascii="仿宋_GB2312" w:hAnsi="宋体" w:eastAsia="仿宋_GB2312"/>
          <w:szCs w:val="21"/>
        </w:rPr>
      </w:pPr>
      <w:r>
        <w:rPr>
          <w:rFonts w:hint="eastAsia" w:ascii="仿宋_GB2312" w:hAnsi="宋体" w:eastAsia="仿宋_GB2312"/>
          <w:szCs w:val="21"/>
        </w:rPr>
        <w:t>一、市场化工具</w:t>
      </w:r>
    </w:p>
    <w:p>
      <w:pPr>
        <w:widowControl/>
        <w:spacing w:line="520" w:lineRule="exact"/>
        <w:ind w:left="540" w:leftChars="257" w:firstLine="210" w:firstLineChars="100"/>
        <w:jc w:val="left"/>
        <w:rPr>
          <w:rFonts w:hint="eastAsia" w:ascii="仿宋_GB2312" w:hAnsi="宋体" w:eastAsia="仿宋_GB2312"/>
          <w:szCs w:val="21"/>
        </w:rPr>
      </w:pPr>
      <w:r>
        <w:rPr>
          <w:rFonts w:hint="eastAsia" w:ascii="仿宋_GB2312" w:hAnsi="宋体" w:eastAsia="仿宋_GB2312"/>
          <w:szCs w:val="21"/>
        </w:rPr>
        <w:t>二、工商管理技术</w:t>
      </w:r>
    </w:p>
    <w:p>
      <w:pPr>
        <w:widowControl/>
        <w:spacing w:line="520" w:lineRule="exact"/>
        <w:ind w:left="540" w:leftChars="257" w:firstLine="210" w:firstLineChars="100"/>
        <w:jc w:val="left"/>
        <w:rPr>
          <w:rFonts w:hint="eastAsia" w:ascii="仿宋_GB2312" w:hAnsi="宋体" w:eastAsia="仿宋_GB2312"/>
          <w:szCs w:val="21"/>
        </w:rPr>
      </w:pPr>
      <w:r>
        <w:rPr>
          <w:rFonts w:hint="eastAsia" w:ascii="仿宋_GB2312" w:hAnsi="宋体" w:eastAsia="仿宋_GB2312"/>
          <w:szCs w:val="21"/>
        </w:rPr>
        <w:t>三、社会化工具</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第四章  政策制定</w:t>
      </w:r>
    </w:p>
    <w:p>
      <w:pPr>
        <w:widowControl/>
        <w:spacing w:line="520" w:lineRule="exact"/>
        <w:ind w:left="525" w:leftChars="250" w:firstLine="210" w:firstLineChars="100"/>
        <w:jc w:val="left"/>
        <w:rPr>
          <w:rFonts w:hint="eastAsia" w:ascii="仿宋_GB2312" w:hAnsi="宋体" w:eastAsia="仿宋_GB2312"/>
          <w:szCs w:val="21"/>
        </w:rPr>
      </w:pPr>
      <w:r>
        <w:rPr>
          <w:rFonts w:hint="eastAsia" w:ascii="仿宋_GB2312" w:hAnsi="宋体" w:eastAsia="仿宋_GB2312"/>
          <w:szCs w:val="21"/>
        </w:rPr>
        <w:t>一、政策问题的确认</w:t>
      </w:r>
    </w:p>
    <w:p>
      <w:pPr>
        <w:widowControl/>
        <w:spacing w:line="520" w:lineRule="exact"/>
        <w:ind w:left="525" w:leftChars="250" w:firstLine="210" w:firstLineChars="100"/>
        <w:jc w:val="left"/>
        <w:rPr>
          <w:rFonts w:hint="eastAsia" w:ascii="仿宋_GB2312" w:hAnsi="宋体" w:eastAsia="仿宋_GB2312"/>
          <w:szCs w:val="21"/>
        </w:rPr>
      </w:pPr>
      <w:r>
        <w:rPr>
          <w:rFonts w:hint="eastAsia" w:ascii="仿宋_GB2312" w:hAnsi="宋体" w:eastAsia="仿宋_GB2312"/>
          <w:szCs w:val="21"/>
        </w:rPr>
        <w:t>二、政策议程的建立</w:t>
      </w:r>
    </w:p>
    <w:p>
      <w:pPr>
        <w:widowControl/>
        <w:spacing w:line="520" w:lineRule="exact"/>
        <w:ind w:left="525" w:leftChars="250" w:firstLine="210" w:firstLineChars="100"/>
        <w:jc w:val="left"/>
        <w:rPr>
          <w:rFonts w:hint="eastAsia" w:ascii="仿宋_GB2312" w:hAnsi="宋体" w:eastAsia="仿宋_GB2312"/>
          <w:szCs w:val="21"/>
        </w:rPr>
      </w:pPr>
      <w:r>
        <w:rPr>
          <w:rFonts w:hint="eastAsia" w:ascii="仿宋_GB2312" w:hAnsi="宋体" w:eastAsia="仿宋_GB2312"/>
          <w:szCs w:val="21"/>
        </w:rPr>
        <w:t>三、政策规划</w:t>
      </w:r>
    </w:p>
    <w:p>
      <w:pPr>
        <w:widowControl/>
        <w:spacing w:line="520" w:lineRule="exact"/>
        <w:ind w:left="525" w:leftChars="250" w:firstLine="210" w:firstLineChars="100"/>
        <w:jc w:val="left"/>
        <w:rPr>
          <w:rFonts w:hint="eastAsia" w:ascii="仿宋_GB2312" w:hAnsi="宋体" w:eastAsia="仿宋_GB2312"/>
          <w:szCs w:val="21"/>
        </w:rPr>
      </w:pPr>
      <w:r>
        <w:rPr>
          <w:rFonts w:hint="eastAsia" w:ascii="仿宋_GB2312" w:hAnsi="宋体" w:eastAsia="仿宋_GB2312"/>
          <w:szCs w:val="21"/>
        </w:rPr>
        <w:t>四、政策的合法化</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第五章 政策执行</w:t>
      </w:r>
    </w:p>
    <w:p>
      <w:pPr>
        <w:widowControl/>
        <w:spacing w:line="520" w:lineRule="exact"/>
        <w:ind w:left="540" w:leftChars="257" w:firstLine="210" w:firstLineChars="100"/>
        <w:jc w:val="left"/>
        <w:rPr>
          <w:rFonts w:hint="eastAsia" w:ascii="仿宋_GB2312" w:hAnsi="宋体" w:eastAsia="仿宋_GB2312"/>
          <w:szCs w:val="21"/>
        </w:rPr>
      </w:pPr>
      <w:r>
        <w:rPr>
          <w:rFonts w:hint="eastAsia" w:ascii="仿宋_GB2312" w:hAnsi="宋体" w:eastAsia="仿宋_GB2312"/>
          <w:szCs w:val="21"/>
        </w:rPr>
        <w:t>一、政策执行的含义、特点和作用</w:t>
      </w:r>
    </w:p>
    <w:p>
      <w:pPr>
        <w:widowControl/>
        <w:spacing w:line="520" w:lineRule="exact"/>
        <w:ind w:left="540" w:leftChars="257" w:firstLine="210" w:firstLineChars="100"/>
        <w:jc w:val="left"/>
        <w:rPr>
          <w:rFonts w:hint="eastAsia" w:ascii="仿宋_GB2312" w:hAnsi="宋体" w:eastAsia="仿宋_GB2312"/>
          <w:szCs w:val="21"/>
        </w:rPr>
      </w:pPr>
      <w:r>
        <w:rPr>
          <w:rFonts w:hint="eastAsia" w:ascii="仿宋_GB2312" w:hAnsi="宋体" w:eastAsia="仿宋_GB2312"/>
          <w:szCs w:val="21"/>
        </w:rPr>
        <w:t>二、政策执行的相关条件</w:t>
      </w:r>
    </w:p>
    <w:p>
      <w:pPr>
        <w:widowControl/>
        <w:spacing w:line="520" w:lineRule="exact"/>
        <w:ind w:left="540" w:leftChars="257" w:firstLine="210" w:firstLineChars="100"/>
        <w:jc w:val="left"/>
        <w:rPr>
          <w:rFonts w:hint="eastAsia" w:ascii="仿宋_GB2312" w:hAnsi="宋体" w:eastAsia="仿宋_GB2312"/>
          <w:szCs w:val="21"/>
        </w:rPr>
      </w:pPr>
      <w:r>
        <w:rPr>
          <w:rFonts w:hint="eastAsia" w:ascii="仿宋_GB2312" w:hAnsi="宋体" w:eastAsia="仿宋_GB2312"/>
          <w:szCs w:val="21"/>
        </w:rPr>
        <w:t>三、政策执行中需要注意的问题</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第六章 政策评估</w:t>
      </w:r>
    </w:p>
    <w:p>
      <w:pPr>
        <w:widowControl/>
        <w:spacing w:line="520" w:lineRule="exact"/>
        <w:ind w:left="540" w:leftChars="257" w:firstLine="210" w:firstLineChars="100"/>
        <w:jc w:val="left"/>
        <w:rPr>
          <w:rFonts w:hint="eastAsia" w:ascii="仿宋_GB2312" w:hAnsi="宋体" w:eastAsia="仿宋_GB2312"/>
          <w:szCs w:val="21"/>
        </w:rPr>
      </w:pPr>
      <w:r>
        <w:rPr>
          <w:rFonts w:hint="eastAsia" w:ascii="仿宋_GB2312" w:hAnsi="宋体" w:eastAsia="仿宋_GB2312"/>
          <w:szCs w:val="21"/>
        </w:rPr>
        <w:t>一、政策评估的含义和功能</w:t>
      </w:r>
    </w:p>
    <w:p>
      <w:pPr>
        <w:widowControl/>
        <w:spacing w:line="520" w:lineRule="exact"/>
        <w:ind w:left="540" w:leftChars="257" w:firstLine="210" w:firstLineChars="100"/>
        <w:jc w:val="left"/>
        <w:rPr>
          <w:rFonts w:hint="eastAsia" w:ascii="仿宋_GB2312" w:hAnsi="宋体" w:eastAsia="仿宋_GB2312"/>
          <w:szCs w:val="21"/>
        </w:rPr>
      </w:pPr>
      <w:r>
        <w:rPr>
          <w:rFonts w:hint="eastAsia" w:ascii="仿宋_GB2312" w:hAnsi="宋体" w:eastAsia="仿宋_GB2312"/>
          <w:szCs w:val="21"/>
        </w:rPr>
        <w:t>二、政策评估的类型</w:t>
      </w:r>
    </w:p>
    <w:p>
      <w:pPr>
        <w:widowControl/>
        <w:spacing w:line="520" w:lineRule="exact"/>
        <w:ind w:left="540" w:leftChars="257" w:firstLine="210" w:firstLineChars="100"/>
        <w:jc w:val="left"/>
        <w:rPr>
          <w:rFonts w:hint="eastAsia" w:ascii="仿宋_GB2312" w:hAnsi="宋体" w:eastAsia="仿宋_GB2312"/>
          <w:szCs w:val="21"/>
        </w:rPr>
      </w:pPr>
      <w:r>
        <w:rPr>
          <w:rFonts w:hint="eastAsia" w:ascii="仿宋_GB2312" w:hAnsi="宋体" w:eastAsia="仿宋_GB2312"/>
          <w:szCs w:val="21"/>
        </w:rPr>
        <w:t>三、政策评估的要素</w:t>
      </w:r>
    </w:p>
    <w:p>
      <w:pPr>
        <w:widowControl/>
        <w:spacing w:line="520" w:lineRule="exact"/>
        <w:ind w:left="540" w:leftChars="257" w:firstLine="210" w:firstLineChars="100"/>
        <w:jc w:val="left"/>
        <w:rPr>
          <w:rFonts w:hint="eastAsia" w:ascii="仿宋_GB2312" w:hAnsi="宋体" w:eastAsia="仿宋_GB2312"/>
          <w:szCs w:val="21"/>
        </w:rPr>
      </w:pPr>
      <w:r>
        <w:rPr>
          <w:rFonts w:hint="eastAsia" w:ascii="仿宋_GB2312" w:hAnsi="宋体" w:eastAsia="仿宋_GB2312"/>
          <w:szCs w:val="21"/>
        </w:rPr>
        <w:t>四、政策评估的步骤</w:t>
      </w:r>
    </w:p>
    <w:p>
      <w:pPr>
        <w:widowControl/>
        <w:spacing w:line="520" w:lineRule="exact"/>
        <w:jc w:val="left"/>
        <w:rPr>
          <w:rFonts w:hint="eastAsia" w:ascii="仿宋_GB2312" w:hAnsi="宋体" w:eastAsia="仿宋_GB2312"/>
          <w:szCs w:val="21"/>
        </w:rPr>
      </w:pPr>
      <w:r>
        <w:rPr>
          <w:rFonts w:hint="eastAsia" w:ascii="仿宋_GB2312" w:hAnsi="宋体" w:eastAsia="仿宋_GB2312"/>
          <w:szCs w:val="21"/>
        </w:rPr>
        <w:t xml:space="preserve">       五、政策评估的障碍</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第七章  政策终结</w:t>
      </w:r>
    </w:p>
    <w:p>
      <w:pPr>
        <w:widowControl/>
        <w:spacing w:line="520" w:lineRule="exact"/>
        <w:ind w:left="540" w:leftChars="257" w:firstLine="210" w:firstLineChars="100"/>
        <w:jc w:val="left"/>
        <w:rPr>
          <w:rFonts w:hint="eastAsia" w:ascii="仿宋_GB2312" w:hAnsi="宋体" w:eastAsia="仿宋_GB2312"/>
          <w:szCs w:val="21"/>
        </w:rPr>
      </w:pPr>
      <w:r>
        <w:rPr>
          <w:rFonts w:hint="eastAsia" w:ascii="仿宋_GB2312" w:hAnsi="宋体" w:eastAsia="仿宋_GB2312"/>
          <w:szCs w:val="21"/>
        </w:rPr>
        <w:t>一、政策终结的含义和作用</w:t>
      </w:r>
    </w:p>
    <w:p>
      <w:pPr>
        <w:widowControl/>
        <w:spacing w:line="520" w:lineRule="exact"/>
        <w:ind w:left="540" w:leftChars="257" w:firstLine="210" w:firstLineChars="100"/>
        <w:jc w:val="left"/>
        <w:rPr>
          <w:rFonts w:hint="eastAsia" w:ascii="仿宋_GB2312" w:hAnsi="宋体" w:eastAsia="仿宋_GB2312"/>
          <w:szCs w:val="21"/>
        </w:rPr>
      </w:pPr>
      <w:r>
        <w:rPr>
          <w:rFonts w:hint="eastAsia" w:ascii="仿宋_GB2312" w:hAnsi="宋体" w:eastAsia="仿宋_GB2312"/>
          <w:szCs w:val="21"/>
        </w:rPr>
        <w:t>二、政策终结的对象和形式</w:t>
      </w:r>
    </w:p>
    <w:p>
      <w:pPr>
        <w:widowControl/>
        <w:spacing w:line="520" w:lineRule="exact"/>
        <w:ind w:left="540" w:leftChars="257" w:firstLine="210" w:firstLineChars="100"/>
        <w:jc w:val="left"/>
        <w:rPr>
          <w:rFonts w:hint="eastAsia" w:ascii="仿宋_GB2312" w:hAnsi="宋体" w:eastAsia="仿宋_GB2312"/>
          <w:szCs w:val="21"/>
        </w:rPr>
      </w:pPr>
      <w:r>
        <w:rPr>
          <w:rFonts w:hint="eastAsia" w:ascii="仿宋_GB2312" w:hAnsi="宋体" w:eastAsia="仿宋_GB2312"/>
          <w:szCs w:val="21"/>
        </w:rPr>
        <w:t>三、政策终结的障碍和措施</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四、参考书目</w:t>
      </w:r>
    </w:p>
    <w:p>
      <w:pPr>
        <w:widowControl/>
        <w:spacing w:line="520" w:lineRule="exact"/>
        <w:ind w:left="540" w:leftChars="257" w:firstLine="210" w:firstLineChars="100"/>
        <w:jc w:val="left"/>
        <w:rPr>
          <w:rFonts w:hint="eastAsia" w:eastAsia="仿宋_GB2312"/>
          <w:kern w:val="0"/>
          <w:szCs w:val="21"/>
        </w:rPr>
      </w:pPr>
      <w:r>
        <w:rPr>
          <w:rFonts w:eastAsia="仿宋_GB2312"/>
          <w:kern w:val="0"/>
        </w:rPr>
        <w:t>1.</w:t>
      </w:r>
      <w:r>
        <w:rPr>
          <w:rFonts w:hint="eastAsia" w:eastAsia="仿宋_GB2312"/>
          <w:kern w:val="0"/>
          <w:szCs w:val="21"/>
        </w:rPr>
        <w:t>陈振明</w:t>
      </w:r>
      <w:r>
        <w:rPr>
          <w:rFonts w:eastAsia="仿宋_GB2312"/>
          <w:szCs w:val="21"/>
          <w:shd w:val="clear" w:color="auto" w:fill="FFFFFF"/>
        </w:rPr>
        <w:t>.</w:t>
      </w:r>
      <w:r>
        <w:rPr>
          <w:rFonts w:hint="eastAsia" w:eastAsia="仿宋_GB2312"/>
          <w:szCs w:val="21"/>
          <w:shd w:val="clear" w:color="auto" w:fill="FFFFFF"/>
        </w:rPr>
        <w:t>公共政策分析,</w:t>
      </w:r>
      <w:r>
        <w:rPr>
          <w:rFonts w:eastAsia="仿宋_GB2312"/>
          <w:kern w:val="0"/>
          <w:szCs w:val="21"/>
        </w:rPr>
        <w:t>中国人民大学出版社,20</w:t>
      </w:r>
      <w:r>
        <w:rPr>
          <w:rFonts w:hint="eastAsia" w:eastAsia="仿宋_GB2312"/>
          <w:kern w:val="0"/>
          <w:szCs w:val="21"/>
        </w:rPr>
        <w:t>03.</w:t>
      </w:r>
    </w:p>
    <w:p>
      <w:pPr>
        <w:widowControl/>
        <w:spacing w:line="520" w:lineRule="exact"/>
        <w:ind w:left="540" w:leftChars="257" w:firstLine="210" w:firstLineChars="100"/>
        <w:jc w:val="left"/>
        <w:rPr>
          <w:rFonts w:hint="eastAsia" w:eastAsia="仿宋_GB2312"/>
          <w:kern w:val="0"/>
          <w:szCs w:val="21"/>
        </w:rPr>
      </w:pPr>
      <w:r>
        <w:rPr>
          <w:rFonts w:hint="eastAsia" w:eastAsia="仿宋_GB2312"/>
          <w:kern w:val="0"/>
          <w:szCs w:val="21"/>
        </w:rPr>
        <w:t>2.谢明.政策透视：政策分析的理论与实践,中国人民大学出版社,2004</w:t>
      </w:r>
    </w:p>
    <w:sectPr>
      <w:pgSz w:w="11906" w:h="16838"/>
      <w:pgMar w:top="1247" w:right="964"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0NzYzZDJlYmQwMzY0NWJmYzUzOGM2YzVlMGM0ZGIifQ=="/>
  </w:docVars>
  <w:rsids>
    <w:rsidRoot w:val="00172A27"/>
    <w:rsid w:val="0015580F"/>
    <w:rsid w:val="00461A4D"/>
    <w:rsid w:val="005C06F4"/>
    <w:rsid w:val="00875327"/>
    <w:rsid w:val="00E8030E"/>
    <w:rsid w:val="00F85A18"/>
    <w:rsid w:val="00F86B03"/>
    <w:rsid w:val="051E0CB5"/>
    <w:rsid w:val="0FB51C92"/>
    <w:rsid w:val="13194346"/>
    <w:rsid w:val="2B1077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6">
    <w:name w:val="page number"/>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999宝藏网</Company>
  <Pages>3</Pages>
  <Words>645</Words>
  <Characters>666</Characters>
  <Lines>5</Lines>
  <Paragraphs>1</Paragraphs>
  <TotalTime>0</TotalTime>
  <ScaleCrop>false</ScaleCrop>
  <LinksUpToDate>false</LinksUpToDate>
  <CharactersWithSpaces>743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2011-06-16T05:37:00Z</dcterms:created>
  <dc:creator>Admin</dc:creator>
  <cp:lastModifiedBy>vertesyuan</cp:lastModifiedBy>
  <cp:lastPrinted>2010-09-25T07:47:00Z</cp:lastPrinted>
  <dcterms:modified xsi:type="dcterms:W3CDTF">2023-12-06T01:41:22Z</dcterms:modified>
  <dc:title>关于做好全日制研究生入学考试考试科目大纲编制工作的通知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8726994A2A4C47A6B5083DC1AD55470E_13</vt:lpwstr>
  </property>
</Properties>
</file>