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rPr>
          <w:rFonts w:ascii="宋体" w:hAnsi="宋体"/>
          <w:sz w:val="24"/>
        </w:rPr>
      </w:pPr>
      <w:r>
        <w:rPr>
          <w:rFonts w:hint="eastAsia"/>
        </w:rPr>
        <w:drawing>
          <wp:inline distT="0" distB="0" distL="0" distR="0">
            <wp:extent cx="2659380" cy="487680"/>
            <wp:effectExtent l="19050" t="0" r="7620" b="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noChangeArrowheads="1"/>
                    </pic:cNvPicPr>
                  </pic:nvPicPr>
                  <pic:blipFill>
                    <a:blip r:embed="rId5"/>
                    <a:srcRect/>
                    <a:stretch>
                      <a:fillRect/>
                    </a:stretch>
                  </pic:blipFill>
                  <pic:spPr>
                    <a:xfrm>
                      <a:off x="0" y="0"/>
                      <a:ext cx="2659380" cy="487680"/>
                    </a:xfrm>
                    <a:prstGeom prst="rect">
                      <a:avLst/>
                    </a:prstGeom>
                    <a:noFill/>
                    <a:ln w="9525">
                      <a:noFill/>
                      <a:miter lim="800000"/>
                      <a:headEnd/>
                      <a:tailEnd/>
                    </a:ln>
                  </pic:spPr>
                </pic:pic>
              </a:graphicData>
            </a:graphic>
          </wp:inline>
        </w:drawing>
      </w:r>
    </w:p>
    <w:p>
      <w:pPr>
        <w:widowControl/>
        <w:jc w:val="center"/>
        <w:rPr>
          <w:rFonts w:ascii="华文中宋" w:hAnsi="华文中宋" w:eastAsia="华文中宋"/>
          <w:b/>
          <w:sz w:val="44"/>
          <w:szCs w:val="44"/>
        </w:rPr>
      </w:pPr>
      <w:r>
        <w:rPr>
          <w:rFonts w:hint="eastAsia" w:ascii="华文中宋" w:hAnsi="华文中宋" w:eastAsia="华文中宋"/>
          <w:b/>
          <w:sz w:val="44"/>
          <w:szCs w:val="44"/>
        </w:rPr>
        <w:t>硕士研究生招生考试</w:t>
      </w:r>
    </w:p>
    <w:p>
      <w:pPr>
        <w:widowControl/>
        <w:jc w:val="center"/>
        <w:rPr>
          <w:rFonts w:ascii="黑体" w:hAnsi="华文中宋" w:eastAsia="黑体"/>
          <w:b/>
          <w:sz w:val="52"/>
          <w:szCs w:val="52"/>
        </w:rPr>
      </w:pPr>
      <w:r>
        <w:rPr>
          <w:rFonts w:hint="eastAsia" w:ascii="黑体" w:hAnsi="华文中宋" w:eastAsia="黑体"/>
          <w:b/>
          <w:sz w:val="52"/>
          <w:szCs w:val="52"/>
        </w:rPr>
        <w:t>《汉语国际教育基础》科目大纲</w:t>
      </w:r>
    </w:p>
    <w:p>
      <w:pPr>
        <w:widowControl/>
        <w:jc w:val="center"/>
        <w:rPr>
          <w:rFonts w:ascii="黑体" w:hAnsi="宋体" w:eastAsia="黑体"/>
          <w:sz w:val="30"/>
          <w:szCs w:val="30"/>
        </w:rPr>
      </w:pPr>
      <w:r>
        <w:rPr>
          <w:rFonts w:hint="eastAsia" w:ascii="黑体" w:hAnsi="宋体" w:eastAsia="黑体"/>
          <w:sz w:val="30"/>
          <w:szCs w:val="30"/>
        </w:rPr>
        <w:t>(科目代码：445)</w:t>
      </w: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800" w:lineRule="exact"/>
        <w:ind w:firstLine="1619" w:firstLineChars="506"/>
        <w:jc w:val="left"/>
        <w:rPr>
          <w:rFonts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国际文化交流学院     </w:t>
      </w:r>
    </w:p>
    <w:p>
      <w:pPr>
        <w:widowControl/>
        <w:spacing w:line="800" w:lineRule="exact"/>
        <w:ind w:firstLine="1635" w:firstLineChars="568"/>
        <w:jc w:val="left"/>
        <w:rPr>
          <w:rFonts w:hint="eastAsia" w:ascii="仿宋_GB2312" w:hAnsi="宋体" w:eastAsia="仿宋_GB2312"/>
          <w:w w:val="90"/>
          <w:sz w:val="32"/>
          <w:szCs w:val="32"/>
          <w:u w:val="single"/>
          <w:lang w:eastAsia="zh-CN"/>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lang w:val="en-US" w:eastAsia="zh-CN"/>
        </w:rPr>
        <w:t xml:space="preserve">                          </w:t>
      </w:r>
      <w:r>
        <w:rPr>
          <w:rFonts w:hint="eastAsia" w:ascii="仿宋_GB2312" w:hAnsi="宋体" w:eastAsia="仿宋_GB2312"/>
          <w:color w:val="FFFFFF" w:themeColor="background1"/>
          <w:w w:val="90"/>
          <w:sz w:val="32"/>
          <w:szCs w:val="32"/>
          <w:u w:val="single"/>
          <w:lang w:eastAsia="zh-CN"/>
        </w:rPr>
        <w:t>、</w:t>
      </w:r>
    </w:p>
    <w:p>
      <w:pPr>
        <w:widowControl/>
        <w:spacing w:line="800" w:lineRule="exact"/>
        <w:ind w:firstLine="1619" w:firstLineChars="506"/>
        <w:jc w:val="left"/>
        <w:rPr>
          <w:rFonts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w:t>
      </w:r>
      <w:r>
        <w:rPr>
          <w:rFonts w:hint="eastAsia" w:ascii="仿宋_GB2312" w:hAnsi="宋体" w:eastAsia="仿宋_GB2312"/>
          <w:sz w:val="32"/>
          <w:szCs w:val="32"/>
          <w:u w:val="single"/>
          <w:lang w:val="en-US" w:eastAsia="zh-CN"/>
        </w:rPr>
        <w:t xml:space="preserve"> </w:t>
      </w:r>
      <w:r>
        <w:rPr>
          <w:rFonts w:hint="eastAsia" w:ascii="仿宋_GB2312" w:hAnsi="宋体" w:eastAsia="仿宋_GB2312"/>
          <w:sz w:val="32"/>
          <w:szCs w:val="32"/>
          <w:u w:val="single"/>
        </w:rPr>
        <w:t>202</w:t>
      </w:r>
      <w:r>
        <w:rPr>
          <w:rFonts w:hint="eastAsia" w:ascii="仿宋_GB2312" w:hAnsi="宋体" w:eastAsia="仿宋_GB2312"/>
          <w:sz w:val="32"/>
          <w:szCs w:val="32"/>
          <w:u w:val="single"/>
          <w:lang w:val="en-US" w:eastAsia="zh-CN"/>
        </w:rPr>
        <w:t>3</w:t>
      </w:r>
      <w:r>
        <w:rPr>
          <w:rFonts w:hint="eastAsia" w:ascii="仿宋_GB2312" w:hAnsi="宋体" w:eastAsia="仿宋_GB2312"/>
          <w:sz w:val="32"/>
          <w:szCs w:val="32"/>
          <w:u w:val="single"/>
        </w:rPr>
        <w:t>年</w:t>
      </w:r>
      <w:r>
        <w:rPr>
          <w:rFonts w:hint="eastAsia" w:ascii="仿宋_GB2312" w:hAnsi="宋体" w:eastAsia="仿宋_GB2312"/>
          <w:sz w:val="32"/>
          <w:szCs w:val="32"/>
          <w:u w:val="single"/>
          <w:lang w:val="en-US" w:eastAsia="zh-CN"/>
        </w:rPr>
        <w:t>6</w:t>
      </w:r>
      <w:r>
        <w:rPr>
          <w:rFonts w:hint="eastAsia" w:ascii="仿宋_GB2312" w:hAnsi="宋体" w:eastAsia="仿宋_GB2312"/>
          <w:sz w:val="32"/>
          <w:szCs w:val="32"/>
          <w:u w:val="single"/>
        </w:rPr>
        <w:t>月</w:t>
      </w:r>
      <w:r>
        <w:rPr>
          <w:rFonts w:hint="eastAsia" w:ascii="仿宋_GB2312" w:hAnsi="宋体" w:eastAsia="仿宋_GB2312"/>
          <w:sz w:val="32"/>
          <w:szCs w:val="32"/>
          <w:u w:val="single"/>
          <w:lang w:val="en-US" w:eastAsia="zh-CN"/>
        </w:rPr>
        <w:t>8</w:t>
      </w:r>
      <w:bookmarkStart w:id="0" w:name="_GoBack"/>
      <w:bookmarkEnd w:id="0"/>
      <w:r>
        <w:rPr>
          <w:rFonts w:hint="eastAsia" w:ascii="仿宋_GB2312" w:hAnsi="宋体" w:eastAsia="仿宋_GB2312"/>
          <w:sz w:val="32"/>
          <w:szCs w:val="32"/>
          <w:u w:val="single"/>
        </w:rPr>
        <w:t xml:space="preserve">日     </w:t>
      </w:r>
    </w:p>
    <w:p>
      <w:pPr>
        <w:widowControl/>
        <w:spacing w:line="800" w:lineRule="exact"/>
        <w:ind w:firstLine="480" w:firstLineChars="200"/>
        <w:jc w:val="left"/>
        <w:rPr>
          <w:rFonts w:ascii="宋体" w:hAnsi="宋体"/>
          <w:sz w:val="24"/>
        </w:rPr>
      </w:pPr>
    </w:p>
    <w:p>
      <w:pPr>
        <w:widowControl/>
        <w:spacing w:line="800" w:lineRule="exact"/>
        <w:ind w:firstLine="480" w:firstLineChars="200"/>
        <w:jc w:val="left"/>
        <w:rPr>
          <w:rFonts w:ascii="宋体" w:hAnsi="宋体"/>
          <w:sz w:val="24"/>
        </w:rPr>
      </w:pPr>
    </w:p>
    <w:p>
      <w:pPr>
        <w:widowControl/>
        <w:spacing w:line="800" w:lineRule="exact"/>
        <w:ind w:firstLine="480" w:firstLineChars="200"/>
        <w:jc w:val="left"/>
        <w:rPr>
          <w:rFonts w:ascii="宋体" w:hAnsi="宋体"/>
          <w:sz w:val="24"/>
        </w:rPr>
      </w:pPr>
    </w:p>
    <w:p>
      <w:pPr>
        <w:widowControl/>
        <w:jc w:val="center"/>
        <w:rPr>
          <w:rFonts w:ascii="黑体" w:hAnsi="华文中宋" w:eastAsia="黑体"/>
          <w:b/>
          <w:sz w:val="30"/>
          <w:szCs w:val="30"/>
        </w:rPr>
      </w:pPr>
      <w:r>
        <w:rPr>
          <w:rFonts w:hint="eastAsia" w:ascii="黑体" w:hAnsi="华文中宋" w:eastAsia="黑体"/>
          <w:b/>
          <w:sz w:val="30"/>
          <w:szCs w:val="30"/>
        </w:rPr>
        <w:t>《</w:t>
      </w:r>
      <w:r>
        <w:rPr>
          <w:rFonts w:hint="eastAsia" w:ascii="黑体" w:hAnsi="宋体" w:eastAsia="黑体"/>
          <w:b/>
          <w:sz w:val="30"/>
          <w:szCs w:val="30"/>
        </w:rPr>
        <w:t>汉语国际教育基础</w:t>
      </w:r>
      <w:r>
        <w:rPr>
          <w:rFonts w:hint="eastAsia" w:ascii="黑体" w:hAnsi="华文中宋" w:eastAsia="黑体"/>
          <w:b/>
          <w:sz w:val="30"/>
          <w:szCs w:val="30"/>
        </w:rPr>
        <w:t>》科目大纲</w:t>
      </w:r>
    </w:p>
    <w:p>
      <w:pPr>
        <w:widowControl/>
        <w:jc w:val="center"/>
        <w:rPr>
          <w:rFonts w:ascii="黑体" w:hAnsi="宋体" w:eastAsia="黑体"/>
          <w:sz w:val="24"/>
        </w:rPr>
      </w:pPr>
      <w:r>
        <w:rPr>
          <w:rFonts w:hint="eastAsia" w:ascii="黑体" w:hAnsi="宋体" w:eastAsia="黑体"/>
          <w:sz w:val="24"/>
        </w:rPr>
        <w:t>(科目代码：445)</w:t>
      </w:r>
    </w:p>
    <w:p>
      <w:pPr>
        <w:widowControl/>
        <w:spacing w:line="400" w:lineRule="exact"/>
        <w:ind w:firstLine="281" w:firstLineChars="100"/>
        <w:jc w:val="left"/>
        <w:rPr>
          <w:rFonts w:ascii="仿宋_GB2312" w:hAnsi="宋体" w:eastAsia="仿宋_GB2312"/>
          <w:b/>
          <w:sz w:val="28"/>
          <w:szCs w:val="28"/>
        </w:rPr>
      </w:pPr>
      <w:r>
        <w:rPr>
          <w:rFonts w:hint="eastAsia" w:ascii="仿宋_GB2312" w:hAnsi="宋体" w:eastAsia="仿宋_GB2312"/>
          <w:b/>
          <w:sz w:val="28"/>
          <w:szCs w:val="28"/>
        </w:rPr>
        <w:t>一、考核要求</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汉语国际教育基础考试是汉语国际教育硕士生入学考试科目之一。我们根据汉语国际教育硕士专业学位教育指导委员会统一制定的考试大纲，结合我校的实际情况，制定自行命题的依据，力图符合该科目选拔性考试的要求。本考试大纲的制定力求反映汉语国际教育硕士专业学位的特点，科学、公平、准确、规范地测评考生的相关知识基础、基本素质和综合能力，其目的是测试考生相关的中外文化、教育学、心理学、跨文化交际的基础知识、基本素养及书面语表达能力。</w:t>
      </w:r>
    </w:p>
    <w:p>
      <w:pPr>
        <w:widowControl/>
        <w:spacing w:line="400" w:lineRule="exact"/>
        <w:jc w:val="left"/>
        <w:rPr>
          <w:rFonts w:ascii="仿宋_GB2312" w:hAnsi="宋体" w:eastAsia="仿宋_GB2312"/>
          <w:b/>
          <w:sz w:val="28"/>
          <w:szCs w:val="28"/>
        </w:rPr>
      </w:pPr>
      <w:r>
        <w:rPr>
          <w:rFonts w:hint="eastAsia" w:ascii="仿宋_GB2312" w:hAnsi="宋体" w:eastAsia="仿宋_GB2312"/>
          <w:b/>
          <w:sz w:val="28"/>
          <w:szCs w:val="28"/>
        </w:rPr>
        <w:t>二、考核评价目标</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（一）要求考生具有与国际汉语教学相关的中外文化及跨文化交际基础知识；</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（二）要求考生具有与国际汉语教学相关的教育学、心理学和语言教学基础知识；</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（三）要求考生具有较强的文字材料理解能力、书面语表达和汉语教学的能力。</w:t>
      </w:r>
    </w:p>
    <w:p>
      <w:pPr>
        <w:widowControl/>
        <w:spacing w:line="400" w:lineRule="exact"/>
        <w:jc w:val="left"/>
        <w:rPr>
          <w:rFonts w:ascii="仿宋_GB2312" w:hAnsi="宋体" w:eastAsia="仿宋_GB2312"/>
          <w:b/>
          <w:sz w:val="28"/>
          <w:szCs w:val="28"/>
        </w:rPr>
      </w:pPr>
      <w:r>
        <w:rPr>
          <w:rFonts w:hint="eastAsia" w:ascii="仿宋_GB2312" w:hAnsi="宋体" w:eastAsia="仿宋_GB2312"/>
          <w:b/>
          <w:sz w:val="28"/>
          <w:szCs w:val="28"/>
        </w:rPr>
        <w:t>三、考核内容</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汉语国际教育基础能力考试由“中外文化及跨文化交际基础知识”，“教育学、心理学及语言教学”，“材料分析写作”三部分组成。</w:t>
      </w:r>
    </w:p>
    <w:p>
      <w:pPr>
        <w:widowControl/>
        <w:spacing w:line="400" w:lineRule="exact"/>
        <w:ind w:firstLine="562" w:firstLineChars="200"/>
        <w:jc w:val="left"/>
        <w:rPr>
          <w:rFonts w:ascii="仿宋_GB2312" w:hAnsi="宋体" w:eastAsia="仿宋_GB2312"/>
          <w:b/>
          <w:sz w:val="28"/>
          <w:szCs w:val="28"/>
        </w:rPr>
      </w:pPr>
      <w:r>
        <w:rPr>
          <w:rFonts w:hint="eastAsia" w:ascii="仿宋_GB2312" w:hAnsi="宋体" w:eastAsia="仿宋_GB2312"/>
          <w:b/>
          <w:sz w:val="28"/>
          <w:szCs w:val="28"/>
        </w:rPr>
        <w:t>第一部分  中外文化及跨文化交际基础知识</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第一节  中国文化基础知识</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第二节  外国文化基础知识</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第三节  跨文化交际基础知识</w:t>
      </w:r>
    </w:p>
    <w:p>
      <w:pPr>
        <w:widowControl/>
        <w:spacing w:line="400" w:lineRule="exact"/>
        <w:ind w:firstLine="562" w:firstLineChars="200"/>
        <w:jc w:val="left"/>
        <w:rPr>
          <w:rFonts w:ascii="仿宋_GB2312" w:hAnsi="宋体" w:eastAsia="仿宋_GB2312"/>
          <w:b/>
          <w:sz w:val="28"/>
          <w:szCs w:val="28"/>
        </w:rPr>
      </w:pPr>
      <w:r>
        <w:rPr>
          <w:rFonts w:hint="eastAsia" w:ascii="仿宋_GB2312" w:hAnsi="宋体" w:eastAsia="仿宋_GB2312"/>
          <w:b/>
          <w:sz w:val="28"/>
          <w:szCs w:val="28"/>
        </w:rPr>
        <w:t>第二部分  教育、心理及语言教学基础知识</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第一节  教育学基础</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第二节  心理学基础</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第三节  语言教学基础</w:t>
      </w:r>
    </w:p>
    <w:p>
      <w:pPr>
        <w:widowControl/>
        <w:spacing w:line="400" w:lineRule="exact"/>
        <w:ind w:firstLine="562" w:firstLineChars="200"/>
        <w:jc w:val="left"/>
        <w:rPr>
          <w:rFonts w:ascii="仿宋_GB2312" w:hAnsi="宋体" w:eastAsia="仿宋_GB2312"/>
          <w:b/>
          <w:sz w:val="28"/>
          <w:szCs w:val="28"/>
        </w:rPr>
      </w:pPr>
      <w:r>
        <w:rPr>
          <w:rFonts w:hint="eastAsia" w:ascii="仿宋_GB2312" w:hAnsi="宋体" w:eastAsia="仿宋_GB2312"/>
          <w:b/>
          <w:sz w:val="28"/>
          <w:szCs w:val="28"/>
        </w:rPr>
        <w:t>第三部分  材料分析写作</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第一节  教育学基础</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第二节  汉语教学分析与实践能力</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第三节  论文写作能力</w:t>
      </w:r>
    </w:p>
    <w:p>
      <w:pPr>
        <w:widowControl/>
        <w:spacing w:line="400" w:lineRule="exact"/>
        <w:jc w:val="left"/>
        <w:rPr>
          <w:rFonts w:ascii="仿宋_GB2312" w:hAnsi="宋体" w:eastAsia="仿宋_GB2312"/>
          <w:b/>
          <w:sz w:val="28"/>
          <w:szCs w:val="28"/>
        </w:rPr>
      </w:pPr>
      <w:r>
        <w:rPr>
          <w:rFonts w:hint="eastAsia" w:ascii="仿宋_GB2312" w:hAnsi="宋体" w:eastAsia="仿宋_GB2312"/>
          <w:b/>
          <w:sz w:val="28"/>
          <w:szCs w:val="28"/>
        </w:rPr>
        <w:t>四、参考书目</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《中国文化要略》程裕祯主编，北京：外语教学与研究出版社；</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《西方文化概论》赵林著，北京：高等教育出版社；</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《跨文化交际学概论》胡文仲 主编，北京：外语教学与研究出版社；</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《对外汉语教育学引论》刘</w:t>
      </w:r>
      <w:r>
        <w:rPr>
          <w:rFonts w:hint="eastAsia" w:ascii="宋体" w:hAnsi="宋体" w:cs="宋体"/>
          <w:bCs/>
          <w:sz w:val="28"/>
          <w:szCs w:val="28"/>
        </w:rPr>
        <w:t>珣著</w:t>
      </w:r>
      <w:r>
        <w:rPr>
          <w:rFonts w:hint="eastAsia" w:ascii="仿宋_GB2312" w:hAnsi="仿宋_GB2312" w:eastAsia="仿宋_GB2312" w:cs="仿宋_GB2312"/>
          <w:bCs/>
          <w:sz w:val="28"/>
          <w:szCs w:val="28"/>
        </w:rPr>
        <w:t>，</w:t>
      </w:r>
      <w:r>
        <w:rPr>
          <w:rFonts w:hint="eastAsia" w:ascii="仿宋_GB2312" w:hAnsi="宋体" w:eastAsia="仿宋_GB2312"/>
          <w:bCs/>
          <w:sz w:val="28"/>
          <w:szCs w:val="28"/>
        </w:rPr>
        <w:t>北京：</w:t>
      </w:r>
      <w:r>
        <w:rPr>
          <w:rFonts w:hint="eastAsia" w:ascii="仿宋_GB2312" w:hAnsi="仿宋_GB2312" w:eastAsia="仿宋_GB2312" w:cs="仿宋_GB2312"/>
          <w:bCs/>
          <w:sz w:val="28"/>
          <w:szCs w:val="28"/>
        </w:rPr>
        <w:t>北京语言大学出版社；</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《对外汉语课堂教学技巧》，崔永华、杨寄洲编，北京：北京语言大学出版社；</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《外语教学方法与流派》，武和平、武海霞编著，北京：外语教学与研究出版社；</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《汉语教师应有的素质与基本功》，陆俭明、马真著，北京：外语教学与研究出版社。</w:t>
      </w:r>
    </w:p>
    <w:p>
      <w:pPr>
        <w:widowControl/>
        <w:spacing w:line="400" w:lineRule="exact"/>
        <w:ind w:firstLine="560" w:firstLineChars="200"/>
        <w:jc w:val="left"/>
        <w:rPr>
          <w:rFonts w:ascii="仿宋_GB2312" w:hAnsi="宋体" w:eastAsia="仿宋_GB2312"/>
          <w:bCs/>
          <w:sz w:val="28"/>
          <w:szCs w:val="28"/>
        </w:rPr>
      </w:pPr>
    </w:p>
    <w:sectPr>
      <w:headerReference r:id="rId3" w:type="default"/>
      <w:pgSz w:w="11906" w:h="16838"/>
      <w:pgMar w:top="1588" w:right="1247" w:bottom="113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RjNDQ3ZGFhNTg3NDNhMDYwYTE4MTA5ODllMTBjNjYifQ=="/>
  </w:docVars>
  <w:rsids>
    <w:rsidRoot w:val="000D6ED4"/>
    <w:rsid w:val="00007BA9"/>
    <w:rsid w:val="00044AE2"/>
    <w:rsid w:val="0007385F"/>
    <w:rsid w:val="000752AE"/>
    <w:rsid w:val="00083C81"/>
    <w:rsid w:val="000938B0"/>
    <w:rsid w:val="000A307B"/>
    <w:rsid w:val="000D6ED4"/>
    <w:rsid w:val="0014776D"/>
    <w:rsid w:val="00155BA2"/>
    <w:rsid w:val="00164261"/>
    <w:rsid w:val="00167D1B"/>
    <w:rsid w:val="00182132"/>
    <w:rsid w:val="00197A98"/>
    <w:rsid w:val="001A008F"/>
    <w:rsid w:val="001A0310"/>
    <w:rsid w:val="001A0467"/>
    <w:rsid w:val="001E2513"/>
    <w:rsid w:val="001E73FC"/>
    <w:rsid w:val="001F367B"/>
    <w:rsid w:val="002036CF"/>
    <w:rsid w:val="0026441C"/>
    <w:rsid w:val="00273F90"/>
    <w:rsid w:val="00290800"/>
    <w:rsid w:val="003078FF"/>
    <w:rsid w:val="0036043E"/>
    <w:rsid w:val="0036247B"/>
    <w:rsid w:val="003633A7"/>
    <w:rsid w:val="003668C9"/>
    <w:rsid w:val="00383E03"/>
    <w:rsid w:val="003B188A"/>
    <w:rsid w:val="003B4B0B"/>
    <w:rsid w:val="003D6499"/>
    <w:rsid w:val="003E41AC"/>
    <w:rsid w:val="0041366D"/>
    <w:rsid w:val="004224D3"/>
    <w:rsid w:val="00425A0B"/>
    <w:rsid w:val="00455716"/>
    <w:rsid w:val="00485C3F"/>
    <w:rsid w:val="004A5790"/>
    <w:rsid w:val="004C6481"/>
    <w:rsid w:val="00513C1C"/>
    <w:rsid w:val="00523D60"/>
    <w:rsid w:val="0054674D"/>
    <w:rsid w:val="005733BF"/>
    <w:rsid w:val="005B770D"/>
    <w:rsid w:val="00612B33"/>
    <w:rsid w:val="00616B04"/>
    <w:rsid w:val="00630BDB"/>
    <w:rsid w:val="00631D48"/>
    <w:rsid w:val="00681475"/>
    <w:rsid w:val="006901E6"/>
    <w:rsid w:val="006B05FE"/>
    <w:rsid w:val="006D3598"/>
    <w:rsid w:val="00723A76"/>
    <w:rsid w:val="0072728D"/>
    <w:rsid w:val="007348AF"/>
    <w:rsid w:val="00746265"/>
    <w:rsid w:val="00755D09"/>
    <w:rsid w:val="007615EA"/>
    <w:rsid w:val="0076708D"/>
    <w:rsid w:val="00797615"/>
    <w:rsid w:val="007B33DE"/>
    <w:rsid w:val="0082559A"/>
    <w:rsid w:val="008361B0"/>
    <w:rsid w:val="0084180B"/>
    <w:rsid w:val="00856BA6"/>
    <w:rsid w:val="008752EA"/>
    <w:rsid w:val="00881288"/>
    <w:rsid w:val="008A58E7"/>
    <w:rsid w:val="008B171E"/>
    <w:rsid w:val="008D17C6"/>
    <w:rsid w:val="008D68CC"/>
    <w:rsid w:val="008E4462"/>
    <w:rsid w:val="00952326"/>
    <w:rsid w:val="009529C1"/>
    <w:rsid w:val="009551A6"/>
    <w:rsid w:val="00973D1F"/>
    <w:rsid w:val="009F1A5E"/>
    <w:rsid w:val="009F6712"/>
    <w:rsid w:val="00A10AC3"/>
    <w:rsid w:val="00A26125"/>
    <w:rsid w:val="00A309FD"/>
    <w:rsid w:val="00A57F9D"/>
    <w:rsid w:val="00A627E3"/>
    <w:rsid w:val="00A856F0"/>
    <w:rsid w:val="00AC4E68"/>
    <w:rsid w:val="00AF6C9F"/>
    <w:rsid w:val="00B06B89"/>
    <w:rsid w:val="00B17978"/>
    <w:rsid w:val="00B60853"/>
    <w:rsid w:val="00B73EA8"/>
    <w:rsid w:val="00B968D4"/>
    <w:rsid w:val="00BB3E9C"/>
    <w:rsid w:val="00BC05D2"/>
    <w:rsid w:val="00BE729E"/>
    <w:rsid w:val="00BF6641"/>
    <w:rsid w:val="00C41C30"/>
    <w:rsid w:val="00C906CF"/>
    <w:rsid w:val="00CA3A68"/>
    <w:rsid w:val="00CB2B38"/>
    <w:rsid w:val="00CD102E"/>
    <w:rsid w:val="00D031A6"/>
    <w:rsid w:val="00D146A1"/>
    <w:rsid w:val="00D3025A"/>
    <w:rsid w:val="00D5499A"/>
    <w:rsid w:val="00D825EC"/>
    <w:rsid w:val="00E16F6A"/>
    <w:rsid w:val="00E22AB7"/>
    <w:rsid w:val="00F015B3"/>
    <w:rsid w:val="00F8294F"/>
    <w:rsid w:val="00FA1859"/>
    <w:rsid w:val="00FA563C"/>
    <w:rsid w:val="00FC789D"/>
    <w:rsid w:val="01D54F58"/>
    <w:rsid w:val="05DF6988"/>
    <w:rsid w:val="1C9F0F89"/>
    <w:rsid w:val="43D6195E"/>
    <w:rsid w:val="600D72DE"/>
    <w:rsid w:val="6B92347F"/>
    <w:rsid w:val="74494F8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批注框文本 字符"/>
    <w:basedOn w:val="8"/>
    <w:link w:val="2"/>
    <w:qFormat/>
    <w:uiPriority w:val="0"/>
    <w:rPr>
      <w:rFonts w:ascii="Times New Roman" w:hAnsi="Times New Roman"/>
      <w:kern w:val="2"/>
      <w:sz w:val="18"/>
      <w:szCs w:val="18"/>
    </w:rPr>
  </w:style>
  <w:style w:type="character" w:customStyle="1" w:styleId="10">
    <w:name w:val="search_content1"/>
    <w:qFormat/>
    <w:uiPriority w:val="0"/>
    <w:rPr>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999宝藏网</Company>
  <Pages>3</Pages>
  <Words>842</Words>
  <Characters>852</Characters>
  <Lines>6</Lines>
  <Paragraphs>1</Paragraphs>
  <TotalTime>1</TotalTime>
  <ScaleCrop>false</ScaleCrop>
  <LinksUpToDate>false</LinksUpToDate>
  <CharactersWithSpaces>925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2018-07-13T07:26:00Z</dcterms:created>
  <dc:creator>Admin</dc:creator>
  <cp:lastModifiedBy>qingtian</cp:lastModifiedBy>
  <cp:lastPrinted>2023-06-07T09:10:46Z</cp:lastPrinted>
  <dcterms:modified xsi:type="dcterms:W3CDTF">2023-06-07T09:11:34Z</dcterms:modified>
  <dc:title>关于做好全日制研究生入学考试考试科目大纲编制工作的通知</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BEA1B58ED298435782C5C34EE88B7CC2</vt:lpwstr>
  </property>
</Properties>
</file>