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jc w:val="center"/>
        <w:rPr>
          <w:rFonts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ascii="黑体" w:hAnsi="华文中宋" w:eastAsia="黑体"/>
          <w:b/>
          <w:sz w:val="52"/>
          <w:szCs w:val="52"/>
        </w:rPr>
      </w:pPr>
      <w:r>
        <w:rPr>
          <w:rFonts w:hint="eastAsia" w:ascii="黑体" w:hAnsi="华文中宋" w:eastAsia="黑体"/>
          <w:b/>
          <w:sz w:val="52"/>
          <w:szCs w:val="52"/>
        </w:rPr>
        <w:t>《商法学》科目大纲</w:t>
      </w:r>
    </w:p>
    <w:p>
      <w:pPr>
        <w:widowControl/>
        <w:jc w:val="center"/>
        <w:rPr>
          <w:rFonts w:hint="eastAsia" w:ascii="黑体" w:hAnsi="宋体" w:eastAsia="黑体"/>
          <w:sz w:val="30"/>
          <w:szCs w:val="30"/>
        </w:rPr>
      </w:pPr>
      <w:r>
        <w:rPr>
          <w:rFonts w:hint="eastAsia" w:ascii="黑体" w:hAnsi="宋体" w:eastAsia="黑体"/>
          <w:sz w:val="30"/>
          <w:szCs w:val="30"/>
        </w:rPr>
        <w:t>(科目代码：</w:t>
      </w:r>
      <w:r>
        <w:rPr>
          <w:rFonts w:hint="eastAsia" w:ascii="黑体" w:hAnsi="宋体" w:eastAsia="黑体"/>
          <w:sz w:val="30"/>
          <w:szCs w:val="30"/>
          <w:lang w:val="en-US" w:eastAsia="zh-CN"/>
        </w:rPr>
        <w:t>516</w:t>
      </w:r>
      <w:r>
        <w:rPr>
          <w:rFonts w:hint="eastAsia" w:ascii="黑体" w:hAnsi="宋体" w:eastAsia="黑体"/>
          <w:sz w:val="30"/>
          <w:szCs w:val="30"/>
        </w:rPr>
        <w:t>)</w:t>
      </w:r>
    </w:p>
    <w:p>
      <w:pPr>
        <w:widowControl/>
        <w:jc w:val="center"/>
        <w:rPr>
          <w:rFonts w:ascii="黑体" w:hAnsi="宋体" w:eastAsia="黑体"/>
          <w:sz w:val="30"/>
          <w:szCs w:val="30"/>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法 学 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ascii="仿宋_GB2312" w:hAnsi="宋体" w:eastAsia="仿宋_GB2312"/>
          <w:sz w:val="32"/>
          <w:szCs w:val="32"/>
          <w:u w:val="single"/>
        </w:rPr>
        <w:t>3</w:t>
      </w:r>
      <w:r>
        <w:rPr>
          <w:rFonts w:hint="eastAsia" w:ascii="仿宋_GB2312" w:hAnsi="宋体" w:eastAsia="仿宋_GB2312"/>
          <w:sz w:val="32"/>
          <w:szCs w:val="32"/>
          <w:u w:val="single"/>
        </w:rPr>
        <w:t xml:space="preserve">年6月21日 </w:t>
      </w:r>
      <w:r>
        <w:rPr>
          <w:rFonts w:ascii="仿宋_GB2312" w:hAnsi="宋体" w:eastAsia="仿宋_GB2312"/>
          <w:sz w:val="32"/>
          <w:szCs w:val="32"/>
          <w:u w:val="single"/>
        </w:rPr>
        <w:t xml:space="preserve">  </w:t>
      </w:r>
      <w:bookmarkStart w:id="0" w:name="_GoBack"/>
      <w:bookmarkEnd w:id="0"/>
    </w:p>
    <w:p>
      <w:pPr>
        <w:widowControl/>
        <w:spacing w:line="800" w:lineRule="exact"/>
        <w:ind w:firstLine="480" w:firstLineChars="200"/>
        <w:jc w:val="left"/>
        <w:rPr>
          <w:rFonts w:ascii="宋体" w:hAnsi="宋体"/>
          <w:sz w:val="24"/>
        </w:rPr>
      </w:pPr>
    </w:p>
    <w:p>
      <w:pPr>
        <w:widowControl/>
        <w:spacing w:line="440" w:lineRule="exact"/>
        <w:jc w:val="both"/>
        <w:rPr>
          <w:rFonts w:ascii="仿宋" w:hAnsi="仿宋" w:eastAsia="仿宋"/>
          <w:b/>
          <w:sz w:val="24"/>
        </w:rPr>
      </w:pPr>
    </w:p>
    <w:p>
      <w:pPr>
        <w:widowControl/>
        <w:spacing w:line="440" w:lineRule="exact"/>
        <w:ind w:firstLine="458" w:firstLineChars="16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一、考核要求</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考生应当准确掌握商法学的基本概念、基本原理和基本制度，并准确掌握每一规则背后的支撑理论、规则的优缺点、历史演进等；</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考生应当能够应用商法学的基本理论和规则分析与解决实际问题，综合商法学的各种制度进行实例解析；</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lang w:val="en-US" w:eastAsia="zh-CN"/>
        </w:rPr>
        <w:t xml:space="preserve">3. </w:t>
      </w:r>
      <w:r>
        <w:rPr>
          <w:rFonts w:hint="eastAsia" w:asciiTheme="minorEastAsia" w:hAnsiTheme="minorEastAsia" w:eastAsiaTheme="minorEastAsia"/>
          <w:szCs w:val="21"/>
        </w:rPr>
        <w:t>考生应当了解商法学的前沿问题；</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lang w:val="en-US" w:eastAsia="zh-CN"/>
        </w:rPr>
        <w:t xml:space="preserve">4. </w:t>
      </w:r>
      <w:r>
        <w:rPr>
          <w:rFonts w:hint="eastAsia" w:asciiTheme="minorEastAsia" w:hAnsiTheme="minorEastAsia" w:eastAsiaTheme="minorEastAsia"/>
          <w:szCs w:val="21"/>
        </w:rPr>
        <w:t>考生应当具有商法学思维及良好的表达能力。</w:t>
      </w:r>
    </w:p>
    <w:p>
      <w:pPr>
        <w:widowControl/>
        <w:spacing w:line="440" w:lineRule="exact"/>
        <w:ind w:firstLine="703" w:firstLineChars="250"/>
        <w:jc w:val="left"/>
        <w:rPr>
          <w:rFonts w:asciiTheme="minorEastAsia" w:hAnsiTheme="minorEastAsia" w:eastAsiaTheme="minorEastAsia"/>
          <w:b/>
          <w:sz w:val="28"/>
          <w:szCs w:val="28"/>
        </w:rPr>
      </w:pPr>
    </w:p>
    <w:p>
      <w:pPr>
        <w:widowControl/>
        <w:spacing w:line="440" w:lineRule="exact"/>
        <w:ind w:firstLine="703" w:firstLineChars="25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二、考核评价目标</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考生对商法学的基本知识体系的掌握程度以及对商法学前沿问题的了解程度；</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考生的商法学思维能力；</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考生的综合应用商法学基本理论解决实际问题的能力；</w:t>
      </w:r>
    </w:p>
    <w:p>
      <w:pPr>
        <w:widowControl/>
        <w:spacing w:line="44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考生进行法律研究的基础及进一步培养的潜力。</w:t>
      </w:r>
    </w:p>
    <w:p>
      <w:pPr>
        <w:widowControl/>
        <w:spacing w:line="440" w:lineRule="exact"/>
        <w:ind w:firstLine="843" w:firstLineChars="300"/>
        <w:jc w:val="left"/>
        <w:rPr>
          <w:rFonts w:asciiTheme="minorEastAsia" w:hAnsiTheme="minorEastAsia" w:eastAsiaTheme="minorEastAsia"/>
          <w:b/>
          <w:sz w:val="28"/>
          <w:szCs w:val="28"/>
        </w:rPr>
      </w:pPr>
    </w:p>
    <w:p>
      <w:pPr>
        <w:widowControl/>
        <w:spacing w:line="44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三、考核内容</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绪论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一、商法学的研究对象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二、商法学的功能</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三、商法学的历史发展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四、马克思主义理论与中国特色社会主义商法学</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第一章 商法的一般原理</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商法概述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一、商法的概念和调整对象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二、商法的基础概念</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三、商法的原则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四、商法的产生、变迁与展望</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商法的渊源与体系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一、商法的渊源</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二、商法的体系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三、商法与其他法律部门的关系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商事纠纷及其解决机制</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一、商事纠纷解决的基本模式</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二、调解与仲裁解决商事纠纷的程序特征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三、商事法院(法庭)与商事审判</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四、商事法律责任</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第二章 商事主体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商事主体概述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一、商事主体的概念与特征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二、商事主体的种类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三、商事主体的商事能力</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商业名称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一、商业名称概述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二、商业名称的构成、选定和取得</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三、商业名称权及其保护</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商事账簿与商事审计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一、商事账簿的概念与法律意义</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二、设置商事账簿的原则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三、商事账簿的种类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四、商事账簿的保管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五、商事审计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商事登记制度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一、商事登记概述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二、商事登记管理机关与登记原则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三、商事登记的种类和程序</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四、商事登记的效力</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五、商事登记制度改革</w:t>
      </w:r>
    </w:p>
    <w:p>
      <w:pPr>
        <w:spacing w:before="156" w:beforeLines="50" w:after="156" w:afterLines="50" w:line="440" w:lineRule="exact"/>
        <w:jc w:val="center"/>
        <w:rPr>
          <w:rFonts w:asciiTheme="minorEastAsia" w:hAnsiTheme="minorEastAsia" w:eastAsiaTheme="minorEastAsia" w:cstheme="minorBidi"/>
        </w:rPr>
      </w:pPr>
      <w:r>
        <w:rPr>
          <w:rFonts w:hint="eastAsia" w:asciiTheme="minorEastAsia" w:hAnsiTheme="minorEastAsia" w:eastAsiaTheme="minorEastAsia" w:cstheme="minorBidi"/>
          <w:b/>
          <w:bCs/>
        </w:rPr>
        <w:t>第三章 商事行为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商事行为概述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一、商事行为的概念</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二、商事行为的特征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三、商事行为的分类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四、特殊商事行为规则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 xml:space="preserve">第二节 营业 </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一、营业概述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二、营业资产</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三、营业转让</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连锁经营与特许经营</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一、连锁经营概述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二、特许经营概述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电子商务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一、电子商务法概述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二、电子商务行为主体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三、电子商务行为方式</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四、电子支付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第五节 商事运输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一、商事运输概述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二、陆上商事运输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三、海上商事运输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四、航空运输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五、混合运输：多式联运</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六、商事物流</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第四章 公司法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公司法概述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一、公司的概念与特征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二、公司法的对象与性质</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三、公司的分类与种类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四、公司的设立</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五、公司的人格</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公司的资本制度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一、公司资本的构成</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二、公司资本制度的类型</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三、出资与转让</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四、增资与减资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股份与股权</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一、股份</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二、股权</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公司的组织机构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一、公司组织机构概述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二、股东会</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三、董事会</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四、监事会</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五、经理</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第五节 公司的合并与分立</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一、公司的合并</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二、公司的分立</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第六节 公司的解散与清算</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一、公司的解散</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二、公司的清算</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第五章 非公司企业法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个人独资企业法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一、个人独资企业的概念与特征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二、个人独资企业的设立制度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三、个人独资企业的治理结构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四、个人独资企业的解散与清算</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合伙企业法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一、合伙企业的概念与分类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二、合伙企业的设立制度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三、合伙企业的治理结构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四、合伙企业的财产与责任承担</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五、合伙企业的变更、解散与清算</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其他非公司企业法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一、国有企业法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二、外商投资企业法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三、合作社法</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第六章 商业银行法与支付法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商业银行法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一、商业银行法概述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二、商业银行的设立、变更、接管和终止</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三、商业银行业务与经营原则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四、商业银行的的风险管理和内部控制制度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商事支付法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一、商事支付法概述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二、现金支付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三、银行电子支付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四、银行卡支付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五、商业预付卡与第三方支付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六、其他方式支付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票据法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一、票据法概述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二、票据基本法律制度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三、汇票</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四、本票</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五、支票</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六、票据电子化与票据法未来的发展</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第七章 保险法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保险法概述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一、保险的概念与基本属性</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二、保险法的概念和地位</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三、保险与相关术语的区别</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四、保险法律关系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保险法的基本原则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一、最大诚信原则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二、保险利益原则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三、损失补偿原则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保险合同</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一、保险合同的概念和特征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二、保险合同的分类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三、保险合同的成立与生效</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四、保险合同的条款解释</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五、保险合同的履行</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保险业法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一、保险业法概述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二、保险业组织</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三、保险辅助人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四、保险业的监督管理</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第八章 证券法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证券法的基本问题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一、证券概述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二、证券法概述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三、我国证券法的发展历程</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证券市场主体法律制度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一、证券交易所</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二、证券公司</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三、证券登记结算机构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四、证券服务机构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五、证券业协会</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证券发行与承销法律制度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一、证券发行</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二、证券承销</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证券上市与交易法律制度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一、证券上市</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二、证券交易</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三、持续信息公开</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四、上市公司收购</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第五节 证券投资者保护法律制度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一、投资者的类型划分</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二、投资者适当性制度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三、投资者权利行使机制</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四、投资者权益救济措施</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第六节 证券监督管理机构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一、证券监督管理机构的性质</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二、证券监督管理体制</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三、证券监督管理机构的职责范围</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四、证券监管中的行政和解</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五、证券监督管理机构工作人员的行为准则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六、证券监管的国际合作</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第七节 证券违法行为法律责任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一、虚假陈述行为及其法律责任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二、内幕交易行为及其法律责任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 xml:space="preserve">三、操纵证券市场行为及其法律责任 </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四、欺诈客户行为及其法律责任</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第九章 期货交易法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期货交易法概述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一、期货交易的含义</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二、期货交易的法律特征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三、期货交易法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期货交易参与者</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一、期货交易者</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二、期货经营机构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三、期货交易场所</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四、期货结算机构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期货交易规则</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一、保证金制度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二、当日无负债结算制度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三、持仓限额和大户持仓报告制度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四、涨跌停板制度和熔断机制</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期货市场的监管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一、自律监管与行政监管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二、行政监管的理念</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第十章 商事信托与投资基金法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商事信托概述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一、我国法上的商事信托概念——营业信托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二、我国商事信托的类型</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三、我国商事信托的监管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四、民法典与商事信托</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商事信托的设立和生效</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一、设立商事信托的意思表示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二、商事信托的当事人资格</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三、商事信托设立的目的</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商事信托财产</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一、商事信托财产的范围</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二、信托财产的独立性</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信托当事人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一、信托当事人概述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二、受托人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三、委托人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第五节 信托的变更与终止</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一、信托的变更</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二、信托的终止</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第六节 投资基金</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一、投资基金的概念</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二、投资基金的特征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三、投资基金的种类</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四、投资基金的法律关系主体</w:t>
      </w:r>
    </w:p>
    <w:p>
      <w:pPr>
        <w:spacing w:before="156" w:beforeLines="50" w:after="156" w:afterLines="50" w:line="440" w:lineRule="exact"/>
        <w:jc w:val="center"/>
        <w:rPr>
          <w:rFonts w:asciiTheme="minorEastAsia" w:hAnsiTheme="minorEastAsia" w:eastAsiaTheme="minorEastAsia" w:cstheme="minorBidi"/>
          <w:b/>
          <w:bCs/>
        </w:rPr>
      </w:pPr>
      <w:r>
        <w:rPr>
          <w:rFonts w:hint="eastAsia" w:asciiTheme="minorEastAsia" w:hAnsiTheme="minorEastAsia" w:eastAsiaTheme="minorEastAsia" w:cstheme="minorBidi"/>
          <w:b/>
          <w:bCs/>
        </w:rPr>
        <w:t>第十一章 破产法</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第一节 破产法概述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一、破产与破产法的概念</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二、破产申请与受理</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三、破产管理人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四、破产债权的申报</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五、债权人会议</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第二节 破产财产的清理</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二、破产债权、破产费用与共益债务</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三、破产程序中的别除权、撤销权、追回权</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四、破产取回权</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五、破产抵销权</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第三节 破产重整制度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一、破产重整制度的概念与特征</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二、重整程序的启动</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三、重整程序的终止</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四、重整计划的制定、表决与批准</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五、重整计划的执行与效力</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第四节 破产和解制度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一、破产和解申请提出与审查</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二、和解协议的表决与效力</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第五节 破产清算制度</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一、破产清算制度概述</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二、破产宣告的做出</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三、破产财产的变价</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四、破产财产的分配</w:t>
      </w:r>
    </w:p>
    <w:p>
      <w:pPr>
        <w:spacing w:line="440" w:lineRule="exact"/>
        <w:rPr>
          <w:rFonts w:asciiTheme="minorEastAsia" w:hAnsiTheme="minorEastAsia" w:eastAsiaTheme="minorEastAsia" w:cstheme="minorBidi"/>
        </w:rPr>
      </w:pPr>
      <w:r>
        <w:rPr>
          <w:rFonts w:hint="eastAsia" w:asciiTheme="minorEastAsia" w:hAnsiTheme="minorEastAsia" w:eastAsiaTheme="minorEastAsia" w:cstheme="minorBidi"/>
        </w:rPr>
        <w:t>五、破产程序的终结</w:t>
      </w:r>
    </w:p>
    <w:p>
      <w:pPr>
        <w:spacing w:line="440" w:lineRule="exact"/>
        <w:ind w:firstLine="562" w:firstLineChars="200"/>
        <w:jc w:val="center"/>
        <w:rPr>
          <w:rFonts w:asciiTheme="minorEastAsia" w:hAnsiTheme="minorEastAsia" w:eastAsiaTheme="minorEastAsia" w:cstheme="minorBidi"/>
        </w:rPr>
      </w:pPr>
      <w:r>
        <w:rPr>
          <w:rFonts w:hint="eastAsia" w:asciiTheme="minorEastAsia" w:hAnsiTheme="minorEastAsia" w:eastAsiaTheme="minorEastAsia"/>
          <w:b/>
          <w:bCs/>
          <w:sz w:val="28"/>
        </w:rPr>
        <w:t>四、参考书目</w:t>
      </w:r>
    </w:p>
    <w:p>
      <w:pPr>
        <w:spacing w:line="440" w:lineRule="exact"/>
        <w:ind w:firstLine="420" w:firstLineChars="200"/>
        <w:rPr>
          <w:rFonts w:asciiTheme="minorEastAsia" w:hAnsiTheme="minorEastAsia" w:eastAsiaTheme="minorEastAsia"/>
        </w:rPr>
      </w:pPr>
      <w:r>
        <w:rPr>
          <w:rFonts w:hint="eastAsia" w:cs="宋体" w:asciiTheme="minorEastAsia" w:hAnsiTheme="minorEastAsia" w:eastAsiaTheme="minorEastAsia"/>
          <w:szCs w:val="21"/>
        </w:rPr>
        <w:t>《商法学》编写组：《商法学》第二版（马克思主义理论研究和建设工程重点教材），高等教育出版社，考生应参考最新版本学习。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ZmU1MzFhN2UzNmI2Y2ExNDZhMTM4MzI1ZDhmMmQifQ=="/>
  </w:docVars>
  <w:rsids>
    <w:rsidRoot w:val="44F11C3D"/>
    <w:rsid w:val="00043C31"/>
    <w:rsid w:val="001E391B"/>
    <w:rsid w:val="00326182"/>
    <w:rsid w:val="005C7AE2"/>
    <w:rsid w:val="00657316"/>
    <w:rsid w:val="00766F08"/>
    <w:rsid w:val="007E5E49"/>
    <w:rsid w:val="008F78FE"/>
    <w:rsid w:val="00955E59"/>
    <w:rsid w:val="009E3095"/>
    <w:rsid w:val="00A72B46"/>
    <w:rsid w:val="00B06672"/>
    <w:rsid w:val="00B658BC"/>
    <w:rsid w:val="00BB03C1"/>
    <w:rsid w:val="00BB3402"/>
    <w:rsid w:val="00C07E8E"/>
    <w:rsid w:val="00C407CF"/>
    <w:rsid w:val="00C51888"/>
    <w:rsid w:val="00D70707"/>
    <w:rsid w:val="00DF212F"/>
    <w:rsid w:val="00ED7503"/>
    <w:rsid w:val="00F05D6A"/>
    <w:rsid w:val="00F8573E"/>
    <w:rsid w:val="011F2EEA"/>
    <w:rsid w:val="02DE5468"/>
    <w:rsid w:val="0A8203DE"/>
    <w:rsid w:val="12087509"/>
    <w:rsid w:val="1AFF0FEA"/>
    <w:rsid w:val="23C9261C"/>
    <w:rsid w:val="2C1E1DA6"/>
    <w:rsid w:val="420A768F"/>
    <w:rsid w:val="44F11C3D"/>
    <w:rsid w:val="49DF43D6"/>
    <w:rsid w:val="4D783B85"/>
    <w:rsid w:val="5C696820"/>
    <w:rsid w:val="63791D37"/>
    <w:rsid w:val="70357BF9"/>
    <w:rsid w:val="71CD4078"/>
    <w:rsid w:val="78A71780"/>
    <w:rsid w:val="79C64023"/>
    <w:rsid w:val="7C21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2850</Words>
  <Characters>2865</Characters>
  <Lines>23</Lines>
  <Paragraphs>6</Paragraphs>
  <TotalTime>5</TotalTime>
  <ScaleCrop>false</ScaleCrop>
  <LinksUpToDate>false</LinksUpToDate>
  <CharactersWithSpaces>2990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2023-06-21T01:23:00Z</dcterms:created>
  <dc:creator>骷。</dc:creator>
  <cp:lastModifiedBy>WPS_1621926377</cp:lastModifiedBy>
  <dcterms:modified xsi:type="dcterms:W3CDTF">2023-06-25T06:56:17Z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C6300BD5D4714CDB8E96CA90609C96B4</vt:lpwstr>
  </property>
</Properties>
</file>