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科目代码：7</w:t>
      </w:r>
      <w:r>
        <w:rPr>
          <w:rFonts w:ascii="宋体" w:hAnsi="宋体"/>
          <w:b/>
          <w:bCs/>
          <w:sz w:val="24"/>
          <w:szCs w:val="24"/>
        </w:rPr>
        <w:t>06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科目名称：道路与铁道施工安全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一、掌握国务院393号令《建设工程安全生产管理条例》、493号令《生产安全事故报告和调查处理条例》、《危险性较大的分部分项工程安全管理规定》（住房和城乡建设部令第37号）与《住房城乡建设部办公厅关于实施&lt;危险性较大的分部分项工程安全管理规定&gt;有关问题的通知》（建质[2018]31号）、《建筑法》、《安全生产法》等安全法律法规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二、掌握事故的概念、分类，我国当前建筑工程安全生产形势；事故类型与部位关系。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三、掌握国家管理机构、施工企业、监理机构与建设单位分别对建筑施工安全的监督管理。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四、掌握施工现场的安全管理，包括施工现场安全检查，施工现场文明施工与环保。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五、掌握基坑的分级与支护；一般沟槽的支撑方法，基坑坍塌预兆。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六、掌握多立杆式双排外脚手架的构造与坍塌事故预防。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七、掌握模板的安装与拆除。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八、掌握高处作业的安全技术。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九、掌握施工现场临时用电安全技术。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十、掌握建筑施工现场的防火、消防措施。</w:t>
      </w:r>
    </w:p>
    <w:p>
      <w:pPr>
        <w:widowControl w:val="0"/>
        <w:spacing w:line="360" w:lineRule="auto"/>
        <w:ind w:left="480" w:hanging="480" w:hangingChars="200"/>
        <w:jc w:val="both"/>
        <w:rPr>
          <w:rFonts w:ascii="宋体" w:hAnsi="宋体"/>
          <w:kern w:val="2"/>
          <w:sz w:val="24"/>
          <w:szCs w:val="24"/>
        </w:rPr>
      </w:pPr>
    </w:p>
    <w:p>
      <w:pPr>
        <w:widowControl w:val="0"/>
        <w:spacing w:line="360" w:lineRule="auto"/>
        <w:ind w:left="482" w:hanging="482" w:hangingChars="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widowControl w:val="0"/>
        <w:ind w:left="420"/>
        <w:jc w:val="both"/>
        <w:rPr>
          <w:rFonts w:ascii="黑体" w:hAnsi="宋体" w:eastAsia="黑体"/>
          <w:b/>
          <w:kern w:val="2"/>
          <w:sz w:val="24"/>
          <w:szCs w:val="24"/>
        </w:rPr>
      </w:pPr>
    </w:p>
    <w:p>
      <w:pPr>
        <w:widowControl w:val="0"/>
        <w:numPr>
          <w:ilvl w:val="0"/>
          <w:numId w:val="1"/>
        </w:numPr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黑体" w:hAnsi="宋体" w:eastAsia="黑体"/>
          <w:b/>
          <w:kern w:val="2"/>
          <w:sz w:val="24"/>
          <w:szCs w:val="24"/>
        </w:rPr>
        <w:t>单项选择题</w:t>
      </w:r>
    </w:p>
    <w:p>
      <w:pPr>
        <w:widowControl w:val="0"/>
        <w:jc w:val="both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ascii="宋体" w:hAnsi="宋体"/>
          <w:color w:val="000000"/>
          <w:kern w:val="2"/>
          <w:sz w:val="21"/>
          <w:szCs w:val="21"/>
        </w:rPr>
        <w:t>1．在建设工程安全生产管理基本制度中，(  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   </w:t>
      </w:r>
      <w:r>
        <w:rPr>
          <w:rFonts w:ascii="宋体" w:hAnsi="宋体"/>
          <w:color w:val="000000"/>
          <w:kern w:val="2"/>
          <w:sz w:val="21"/>
          <w:szCs w:val="21"/>
        </w:rPr>
        <w:t xml:space="preserve">  )是建筑生产中最基本的安全管理制度，是所有安全规章制度的核心。 </w:t>
      </w:r>
      <w:r>
        <w:rPr>
          <w:rFonts w:ascii="宋体" w:hAnsi="宋体"/>
          <w:color w:val="000000"/>
          <w:kern w:val="2"/>
          <w:sz w:val="21"/>
          <w:szCs w:val="21"/>
        </w:rPr>
        <w:br w:type="textWrapping"/>
      </w:r>
      <w:r>
        <w:rPr>
          <w:rFonts w:ascii="宋体" w:hAnsi="宋体"/>
          <w:color w:val="000000"/>
          <w:kern w:val="2"/>
          <w:sz w:val="21"/>
          <w:szCs w:val="21"/>
        </w:rPr>
        <w:t xml:space="preserve">  A．安全生产责任制度      B．群防群治制度 </w:t>
      </w:r>
    </w:p>
    <w:p>
      <w:pPr>
        <w:widowControl w:val="0"/>
        <w:spacing w:line="312" w:lineRule="auto"/>
        <w:ind w:left="400" w:leftChars="200"/>
        <w:jc w:val="both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ascii="宋体" w:hAnsi="宋体"/>
          <w:color w:val="000000"/>
          <w:kern w:val="2"/>
          <w:sz w:val="21"/>
          <w:szCs w:val="21"/>
        </w:rPr>
        <w:t>C．安全生产教育培训制度    D．安全责任追究制度</w:t>
      </w:r>
    </w:p>
    <w:p>
      <w:pPr>
        <w:widowControl w:val="0"/>
        <w:jc w:val="both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ascii="宋体" w:hAnsi="宋体"/>
          <w:color w:val="000000"/>
          <w:kern w:val="2"/>
          <w:sz w:val="21"/>
          <w:szCs w:val="21"/>
        </w:rPr>
        <w:t>2．根据《建设工程安全生产管理条例》，施工单位应当在危险部位设置明显的安全警示标志。安全警示标志必须符合(  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   </w:t>
      </w:r>
      <w:r>
        <w:rPr>
          <w:rFonts w:ascii="宋体" w:hAnsi="宋体"/>
          <w:color w:val="000000"/>
          <w:kern w:val="2"/>
          <w:sz w:val="21"/>
          <w:szCs w:val="21"/>
        </w:rPr>
        <w:t xml:space="preserve">  )标准。 </w:t>
      </w:r>
      <w:r>
        <w:rPr>
          <w:rFonts w:ascii="宋体" w:hAnsi="宋体"/>
          <w:color w:val="000000"/>
          <w:kern w:val="2"/>
          <w:sz w:val="21"/>
          <w:szCs w:val="21"/>
        </w:rPr>
        <w:br w:type="textWrapping"/>
      </w:r>
      <w:r>
        <w:rPr>
          <w:rFonts w:ascii="宋体" w:hAnsi="宋体"/>
          <w:color w:val="000000"/>
          <w:kern w:val="2"/>
          <w:sz w:val="21"/>
          <w:szCs w:val="21"/>
        </w:rPr>
        <w:t>  A．国家    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     </w:t>
      </w:r>
      <w:r>
        <w:rPr>
          <w:rFonts w:ascii="宋体" w:hAnsi="宋体"/>
          <w:color w:val="000000"/>
          <w:kern w:val="2"/>
          <w:sz w:val="21"/>
          <w:szCs w:val="21"/>
        </w:rPr>
        <w:t xml:space="preserve">B．地区 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  </w:t>
      </w:r>
      <w:r>
        <w:rPr>
          <w:rFonts w:ascii="宋体" w:hAnsi="宋体"/>
          <w:color w:val="000000"/>
          <w:kern w:val="2"/>
          <w:sz w:val="21"/>
          <w:szCs w:val="21"/>
        </w:rPr>
        <w:t>  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</w:t>
      </w:r>
      <w:r>
        <w:rPr>
          <w:rFonts w:ascii="宋体" w:hAnsi="宋体"/>
          <w:color w:val="000000"/>
          <w:kern w:val="2"/>
          <w:sz w:val="21"/>
          <w:szCs w:val="21"/>
        </w:rPr>
        <w:t>  C．行业  </w:t>
      </w:r>
      <w:r>
        <w:rPr>
          <w:rFonts w:hint="eastAsia" w:ascii="宋体" w:hAnsi="宋体"/>
          <w:color w:val="000000"/>
          <w:kern w:val="2"/>
          <w:sz w:val="21"/>
          <w:szCs w:val="21"/>
        </w:rPr>
        <w:t xml:space="preserve">    </w:t>
      </w:r>
      <w:r>
        <w:rPr>
          <w:rFonts w:ascii="宋体" w:hAnsi="宋体"/>
          <w:color w:val="000000"/>
          <w:kern w:val="2"/>
          <w:sz w:val="21"/>
          <w:szCs w:val="21"/>
        </w:rPr>
        <w:t>  D．部门</w:t>
      </w:r>
    </w:p>
    <w:p>
      <w:pPr>
        <w:widowControl w:val="0"/>
        <w:spacing w:line="312" w:lineRule="auto"/>
        <w:ind w:left="480" w:hanging="480" w:hangingChars="200"/>
        <w:jc w:val="both"/>
        <w:rPr>
          <w:rFonts w:ascii="仿宋_GB2312" w:eastAsia="仿宋_GB2312"/>
          <w:kern w:val="2"/>
          <w:sz w:val="24"/>
          <w:szCs w:val="24"/>
        </w:rPr>
      </w:pPr>
    </w:p>
    <w:p>
      <w:pPr>
        <w:widowControl w:val="0"/>
        <w:numPr>
          <w:ilvl w:val="0"/>
          <w:numId w:val="1"/>
        </w:numPr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黑体" w:hAnsi="宋体" w:eastAsia="黑体"/>
          <w:b/>
          <w:kern w:val="2"/>
          <w:sz w:val="24"/>
          <w:szCs w:val="24"/>
        </w:rPr>
        <w:t>名词解释</w:t>
      </w:r>
    </w:p>
    <w:p>
      <w:pPr>
        <w:widowControl w:val="0"/>
        <w:numPr>
          <w:ilvl w:val="0"/>
          <w:numId w:val="2"/>
        </w:numPr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高处作业              </w:t>
      </w:r>
    </w:p>
    <w:p>
      <w:pPr>
        <w:widowControl w:val="0"/>
        <w:numPr>
          <w:ilvl w:val="0"/>
          <w:numId w:val="2"/>
        </w:numPr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TN-C系统           </w:t>
      </w:r>
    </w:p>
    <w:p>
      <w:pPr>
        <w:widowControl w:val="0"/>
        <w:spacing w:line="312" w:lineRule="auto"/>
        <w:ind w:left="480" w:hanging="480" w:hangingChars="200"/>
        <w:jc w:val="both"/>
        <w:rPr>
          <w:rFonts w:ascii="仿宋_GB2312" w:eastAsia="仿宋_GB2312"/>
          <w:kern w:val="2"/>
          <w:sz w:val="24"/>
          <w:szCs w:val="24"/>
        </w:rPr>
      </w:pPr>
    </w:p>
    <w:p>
      <w:pPr>
        <w:widowControl w:val="0"/>
        <w:numPr>
          <w:ilvl w:val="0"/>
          <w:numId w:val="1"/>
        </w:numPr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黑体" w:hAnsi="宋体" w:eastAsia="黑体"/>
          <w:b/>
          <w:kern w:val="2"/>
          <w:sz w:val="24"/>
          <w:szCs w:val="24"/>
        </w:rPr>
        <w:t>简答题</w:t>
      </w:r>
    </w:p>
    <w:p>
      <w:pPr>
        <w:widowControl w:val="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</w:t>
      </w:r>
      <w:r>
        <w:rPr>
          <w:rFonts w:ascii="宋体" w:hAnsi="宋体"/>
          <w:kern w:val="2"/>
          <w:sz w:val="21"/>
          <w:szCs w:val="21"/>
        </w:rPr>
        <w:t>.</w:t>
      </w:r>
      <w:r>
        <w:rPr>
          <w:rFonts w:hint="eastAsia" w:ascii="宋体" w:hAnsi="宋体"/>
          <w:kern w:val="2"/>
          <w:sz w:val="21"/>
          <w:szCs w:val="21"/>
        </w:rPr>
        <w:t>我国土木工程施工安全的形势如何？</w:t>
      </w:r>
    </w:p>
    <w:p>
      <w:pPr>
        <w:widowControl w:val="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2．断续式水平支撑的支撑方法与适用条件。</w:t>
      </w:r>
    </w:p>
    <w:p>
      <w:pPr>
        <w:widowControl w:val="0"/>
        <w:spacing w:line="312" w:lineRule="auto"/>
        <w:ind w:left="480" w:hanging="480" w:hangingChars="200"/>
        <w:jc w:val="both"/>
        <w:rPr>
          <w:rFonts w:ascii="仿宋_GB2312" w:eastAsia="仿宋_GB2312"/>
          <w:kern w:val="2"/>
          <w:sz w:val="24"/>
          <w:szCs w:val="24"/>
        </w:rPr>
      </w:pPr>
    </w:p>
    <w:p>
      <w:pPr>
        <w:widowControl w:val="0"/>
        <w:jc w:val="both"/>
        <w:rPr>
          <w:rFonts w:ascii="黑体" w:hAnsi="宋体" w:eastAsia="黑体"/>
          <w:b/>
          <w:kern w:val="2"/>
          <w:sz w:val="24"/>
          <w:szCs w:val="24"/>
        </w:rPr>
      </w:pPr>
      <w:r>
        <w:rPr>
          <w:rFonts w:hint="eastAsia" w:ascii="黑体" w:hAnsi="宋体" w:eastAsia="黑体"/>
          <w:b/>
          <w:kern w:val="2"/>
          <w:sz w:val="24"/>
          <w:szCs w:val="24"/>
        </w:rPr>
        <w:t>四、论述题</w:t>
      </w:r>
    </w:p>
    <w:p>
      <w:pPr>
        <w:widowControl w:val="0"/>
        <w:jc w:val="both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hint="eastAsia" w:ascii="宋体" w:hAnsi="宋体"/>
          <w:color w:val="000000"/>
          <w:kern w:val="2"/>
          <w:sz w:val="21"/>
          <w:szCs w:val="21"/>
        </w:rPr>
        <w:t>我国安全生产的基本方针是什么，如何理解其内涵。</w:t>
      </w:r>
    </w:p>
    <w:p>
      <w:pPr>
        <w:widowControl w:val="0"/>
        <w:spacing w:line="312" w:lineRule="auto"/>
        <w:ind w:left="420" w:hanging="420" w:hangingChars="200"/>
        <w:jc w:val="both"/>
        <w:rPr>
          <w:rFonts w:ascii="宋体" w:hAnsi="宋体"/>
          <w:color w:val="000000"/>
          <w:kern w:val="2"/>
          <w:sz w:val="21"/>
          <w:szCs w:val="21"/>
        </w:rPr>
      </w:pPr>
    </w:p>
    <w:p>
      <w:pPr>
        <w:widowControl w:val="0"/>
        <w:spacing w:line="312" w:lineRule="auto"/>
        <w:ind w:left="420" w:hanging="420" w:hangingChars="200"/>
        <w:jc w:val="both"/>
        <w:rPr>
          <w:rFonts w:hint="eastAsia" w:ascii="宋体" w:hAnsi="宋体"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黑体" w:hAnsi="宋体" w:eastAsia="黑体"/>
          <w:b/>
          <w:kern w:val="2"/>
          <w:sz w:val="24"/>
          <w:szCs w:val="24"/>
        </w:rPr>
        <w:t>五、案例分析题</w:t>
      </w:r>
    </w:p>
    <w:p>
      <w:pPr>
        <w:widowControl w:val="0"/>
        <w:ind w:firstLine="420" w:firstLineChars="20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【背景】某高层住宅楼工程项目，业主与某施工单位签订了建筑施工合同。在工程实施过程中，发生了以下事件：</w:t>
      </w:r>
    </w:p>
    <w:p>
      <w:pPr>
        <w:widowControl w:val="0"/>
        <w:ind w:firstLine="420" w:firstLineChars="20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事件1. 基坑发生严重坍塌，并造成4名施工人员被掩埋，经抢救2人死亡，5人重伤，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26天后又有1人死亡，35后又有1人死亡。</w:t>
      </w:r>
    </w:p>
    <w:p>
      <w:pPr>
        <w:widowControl w:val="0"/>
        <w:ind w:firstLine="420" w:firstLineChars="20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事件2. 该工程项目周围为已建工程，因施工场地狭小，现场道路按3m考虑并兼作消防车道，路基夯实，上铺150mm厚砂石，并做混凝土面层。搅拌机棚、砂石料只能在与已建工程之间间隙堆放。现场布置两个消火栓，间距100m，其中一个距拟建建筑物4m，另一个距临时道路2.5 m。</w:t>
      </w:r>
    </w:p>
    <w:p>
      <w:pPr>
        <w:widowControl w:val="0"/>
        <w:ind w:firstLine="420" w:firstLineChars="20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事件3：一层有一跨度为10m的钢筋混凝土梁，拆模后发现梁侧混凝土有少量孔洞。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【问题】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1.</w:t>
      </w:r>
      <w:r>
        <w:rPr>
          <w:rFonts w:ascii="Calibri" w:hAnsi="Calibri"/>
          <w:kern w:val="2"/>
          <w:sz w:val="21"/>
          <w:szCs w:val="22"/>
        </w:rPr>
        <w:t xml:space="preserve"> </w:t>
      </w:r>
      <w:r>
        <w:rPr>
          <w:rFonts w:hint="eastAsia" w:ascii="Calibri" w:hAnsi="Calibri"/>
          <w:kern w:val="2"/>
          <w:sz w:val="21"/>
          <w:szCs w:val="22"/>
        </w:rPr>
        <w:t>本事故的死亡人数是几人？可定为哪种等级的安全事故，说明理由。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2. 该工程消防车道设置是否合理? 该工程消火栓设置是否妥当?试说明理由。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3.</w:t>
      </w:r>
      <w:r>
        <w:rPr>
          <w:rFonts w:ascii="Calibri" w:hAnsi="Calibri"/>
          <w:kern w:val="2"/>
          <w:sz w:val="21"/>
          <w:szCs w:val="22"/>
        </w:rPr>
        <w:t xml:space="preserve"> </w:t>
      </w:r>
      <w:r>
        <w:rPr>
          <w:rFonts w:hint="eastAsia" w:ascii="Calibri" w:hAnsi="Calibri"/>
          <w:kern w:val="2"/>
          <w:sz w:val="21"/>
          <w:szCs w:val="22"/>
        </w:rPr>
        <w:t>事件3中，10m钢筋混凝土梁拆模时混凝土强度应为多少？</w:t>
      </w:r>
    </w:p>
    <w:p>
      <w:pPr>
        <w:widowControl w:val="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hint="eastAsia" w:ascii="Calibri" w:hAnsi="Calibri"/>
          <w:kern w:val="2"/>
          <w:sz w:val="21"/>
          <w:szCs w:val="22"/>
        </w:rPr>
        <w:t>4.</w:t>
      </w:r>
      <w:r>
        <w:rPr>
          <w:rFonts w:ascii="Calibri" w:hAnsi="Calibri"/>
          <w:kern w:val="2"/>
          <w:sz w:val="21"/>
          <w:szCs w:val="22"/>
        </w:rPr>
        <w:t xml:space="preserve"> </w:t>
      </w:r>
      <w:r>
        <w:rPr>
          <w:rFonts w:hint="eastAsia" w:ascii="Calibri" w:hAnsi="Calibri"/>
          <w:kern w:val="2"/>
          <w:sz w:val="21"/>
          <w:szCs w:val="22"/>
        </w:rPr>
        <w:t>施工项目的安全检查应由谁组织?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>
      <w:pPr>
        <w:spacing w:line="360" w:lineRule="auto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李钰.建筑施工安全(第三版).中国建筑工业出版社，2019</w:t>
      </w:r>
    </w:p>
    <w:p>
      <w:pPr>
        <w:spacing w:line="360" w:lineRule="exact"/>
        <w:outlineLvl w:val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944A1"/>
    <w:multiLevelType w:val="multilevel"/>
    <w:tmpl w:val="0C6944A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0CE2D33"/>
    <w:multiLevelType w:val="multilevel"/>
    <w:tmpl w:val="50CE2D33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D5E70"/>
    <w:rsid w:val="001749F1"/>
    <w:rsid w:val="001A50F3"/>
    <w:rsid w:val="001D0175"/>
    <w:rsid w:val="00283810"/>
    <w:rsid w:val="002A7741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6939B6"/>
    <w:rsid w:val="006D2BD9"/>
    <w:rsid w:val="007031E6"/>
    <w:rsid w:val="007C2B60"/>
    <w:rsid w:val="007E5C17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C284B"/>
    <w:rsid w:val="00B65221"/>
    <w:rsid w:val="00B85D2B"/>
    <w:rsid w:val="00BD6BBD"/>
    <w:rsid w:val="00BF17BB"/>
    <w:rsid w:val="00CB7C37"/>
    <w:rsid w:val="00D14A7F"/>
    <w:rsid w:val="00D96550"/>
    <w:rsid w:val="00DE1E4C"/>
    <w:rsid w:val="00DE51C8"/>
    <w:rsid w:val="00DF0BF6"/>
    <w:rsid w:val="00E06B6D"/>
    <w:rsid w:val="00E61915"/>
    <w:rsid w:val="00EB0DF8"/>
    <w:rsid w:val="00EC1EC4"/>
    <w:rsid w:val="00EF3DC3"/>
    <w:rsid w:val="00F84D63"/>
    <w:rsid w:val="00FD3FAB"/>
    <w:rsid w:val="00FE06E3"/>
    <w:rsid w:val="1DEE7F15"/>
    <w:rsid w:val="203D6F6C"/>
    <w:rsid w:val="31476433"/>
    <w:rsid w:val="3254342C"/>
    <w:rsid w:val="46086552"/>
    <w:rsid w:val="52B54231"/>
    <w:rsid w:val="749F1F98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195</Words>
  <Characters>1115</Characters>
  <Lines>9</Lines>
  <Paragraphs>2</Paragraphs>
  <TotalTime>0</TotalTime>
  <ScaleCrop>false</ScaleCrop>
  <LinksUpToDate>false</LinksUpToDate>
  <CharactersWithSpaces>1308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dcterms:modified xsi:type="dcterms:W3CDTF">2024-01-03T07:10:50Z</dcterms:modified>
  <dc:title>2009年硕士研究生入学考试初试考试大纲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E1347FD8E5FA4857A69FDC93CA89FF85_13</vt:lpwstr>
  </property>
</Properties>
</file>