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应用统计硕士025200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bCs/>
          <w:sz w:val="24"/>
        </w:rPr>
        <w:t>学科点简介：本学科点</w:t>
      </w:r>
      <w:r>
        <w:rPr>
          <w:rFonts w:hint="eastAsia" w:ascii="宋体" w:hAnsi="宋体" w:cs="宋体"/>
          <w:bCs/>
          <w:kern w:val="0"/>
          <w:sz w:val="24"/>
        </w:rPr>
        <w:t>隶属于广东财经大学经济学院，作为</w:t>
      </w:r>
      <w:r>
        <w:rPr>
          <w:rFonts w:ascii="宋体" w:hAnsi="宋体" w:cs="宋体"/>
          <w:bCs/>
          <w:kern w:val="0"/>
          <w:sz w:val="24"/>
        </w:rPr>
        <w:t>学院</w:t>
      </w:r>
      <w:r>
        <w:rPr>
          <w:rFonts w:hint="eastAsia" w:ascii="宋体" w:hAnsi="宋体" w:cs="宋体"/>
          <w:bCs/>
          <w:kern w:val="0"/>
          <w:sz w:val="24"/>
        </w:rPr>
        <w:t>经济学科的</w:t>
      </w:r>
      <w:r>
        <w:rPr>
          <w:rFonts w:ascii="宋体" w:hAnsi="宋体" w:cs="宋体"/>
          <w:bCs/>
          <w:kern w:val="0"/>
          <w:sz w:val="24"/>
        </w:rPr>
        <w:t>重要组成部分</w:t>
      </w:r>
      <w:r>
        <w:rPr>
          <w:rFonts w:hint="eastAsia" w:ascii="宋体" w:hAnsi="宋体" w:cs="宋体"/>
          <w:bCs/>
          <w:kern w:val="0"/>
          <w:sz w:val="24"/>
        </w:rPr>
        <w:t>，目前学科点有专兼职教师42人，其中28人具备硕士生导师资格，校外导师14人，建有12个实习实践基地。</w:t>
      </w:r>
      <w:r>
        <w:rPr>
          <w:rFonts w:hint="eastAsia" w:ascii="宋体" w:hAnsi="宋体"/>
          <w:sz w:val="24"/>
          <w:lang w:val="zh-CN"/>
        </w:rPr>
        <w:t>近年来，主持承担国家自科、国家社科、教育部人文社科等国家级和省部级项目</w:t>
      </w:r>
      <w:r>
        <w:rPr>
          <w:rFonts w:hint="eastAsia" w:ascii="Calibri" w:hAnsi="Calibri"/>
          <w:sz w:val="24"/>
        </w:rPr>
        <w:t>3</w:t>
      </w:r>
      <w:r>
        <w:rPr>
          <w:rFonts w:ascii="Calibri" w:hAnsi="Calibri" w:eastAsia="Calibri"/>
          <w:sz w:val="24"/>
          <w:lang w:val="zh-CN"/>
        </w:rPr>
        <w:t>0</w:t>
      </w:r>
      <w:r>
        <w:rPr>
          <w:rFonts w:hint="eastAsia" w:ascii="宋体" w:hAnsi="宋体"/>
          <w:sz w:val="24"/>
          <w:lang w:val="zh-CN"/>
        </w:rPr>
        <w:t>多项，</w:t>
      </w:r>
      <w:r>
        <w:rPr>
          <w:rFonts w:ascii="宋体" w:hAnsi="宋体"/>
          <w:sz w:val="24"/>
          <w:lang w:val="zh-CN"/>
        </w:rPr>
        <w:t>到位经费</w:t>
      </w:r>
      <w:r>
        <w:rPr>
          <w:rFonts w:hint="eastAsia"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zh-CN"/>
        </w:rPr>
        <w:t>0余</w:t>
      </w:r>
      <w:r>
        <w:rPr>
          <w:rFonts w:ascii="宋体" w:hAnsi="宋体"/>
          <w:sz w:val="24"/>
          <w:lang w:val="zh-CN"/>
        </w:rPr>
        <w:t>万元</w:t>
      </w:r>
      <w:r>
        <w:rPr>
          <w:rFonts w:hint="eastAsia" w:ascii="宋体" w:hAnsi="宋体"/>
          <w:sz w:val="24"/>
          <w:lang w:val="zh-CN"/>
        </w:rPr>
        <w:t>；出版专著和教材</w:t>
      </w:r>
      <w:r>
        <w:rPr>
          <w:rFonts w:hint="eastAsia" w:ascii="Calibri" w:hAnsi="Calibri"/>
          <w:sz w:val="24"/>
        </w:rPr>
        <w:t>3</w:t>
      </w:r>
      <w:r>
        <w:rPr>
          <w:rFonts w:ascii="Calibri" w:hAnsi="Calibri" w:eastAsia="Calibri"/>
          <w:sz w:val="24"/>
          <w:lang w:val="zh-CN"/>
        </w:rPr>
        <w:t>0</w:t>
      </w:r>
      <w:r>
        <w:rPr>
          <w:rFonts w:hint="eastAsia" w:ascii="宋体" w:hAnsi="宋体"/>
          <w:sz w:val="24"/>
          <w:lang w:val="zh-CN"/>
        </w:rPr>
        <w:t>多部；在《数量经济技术经济研究》《统计研究》《数理统计与管理》等专业学术刊物上发表论文</w:t>
      </w:r>
      <w:r>
        <w:rPr>
          <w:rFonts w:hint="eastAsia" w:ascii="Calibri" w:hAnsi="Calibri"/>
          <w:sz w:val="24"/>
        </w:rPr>
        <w:t>30</w:t>
      </w:r>
      <w:r>
        <w:rPr>
          <w:rFonts w:ascii="Calibri" w:hAnsi="Calibri" w:eastAsia="Calibri"/>
          <w:sz w:val="24"/>
          <w:lang w:val="zh-CN"/>
        </w:rPr>
        <w:t>0</w:t>
      </w:r>
      <w:r>
        <w:rPr>
          <w:rFonts w:hint="eastAsia" w:ascii="宋体" w:hAnsi="宋体"/>
          <w:sz w:val="24"/>
          <w:lang w:val="zh-CN"/>
        </w:rPr>
        <w:t>多篇；获省部级科研教研成果奖</w:t>
      </w:r>
      <w:r>
        <w:rPr>
          <w:rFonts w:ascii="Calibri" w:hAnsi="Calibri" w:eastAsia="Calibri"/>
          <w:sz w:val="24"/>
          <w:lang w:val="zh-CN"/>
        </w:rPr>
        <w:t>9</w:t>
      </w:r>
      <w:r>
        <w:rPr>
          <w:rFonts w:hint="eastAsia" w:ascii="宋体" w:hAnsi="宋体"/>
          <w:sz w:val="24"/>
          <w:lang w:val="zh-CN"/>
        </w:rPr>
        <w:t>项</w:t>
      </w:r>
      <w:r>
        <w:rPr>
          <w:rFonts w:hint="eastAsia" w:ascii="宋体" w:hAnsi="宋体"/>
          <w:sz w:val="24"/>
        </w:rPr>
        <w:t>。学科点</w:t>
      </w:r>
      <w:r>
        <w:rPr>
          <w:rFonts w:ascii="宋体" w:hAnsi="宋体"/>
          <w:sz w:val="24"/>
        </w:rPr>
        <w:t>围绕</w:t>
      </w:r>
      <w:r>
        <w:rPr>
          <w:rFonts w:hint="eastAsia" w:ascii="宋体" w:hAnsi="宋体" w:cs="宋体"/>
          <w:bCs/>
          <w:kern w:val="0"/>
          <w:sz w:val="24"/>
        </w:rPr>
        <w:t>“研究式学习、问题导向性实习”的培养特色，培养高层次、应用型统计专门人才。</w:t>
      </w:r>
    </w:p>
    <w:p>
      <w:pPr>
        <w:widowControl/>
        <w:spacing w:before="156" w:beforeLines="50" w:line="400" w:lineRule="exact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 w:ascii="宋体" w:hAnsi="宋体"/>
          <w:color w:val="000000"/>
          <w:sz w:val="24"/>
        </w:rPr>
        <w:t>掌握马克思主义基本原理和习近平中国特色社会主义理论体系，具有良好的政治思想素质和职业道德素养；掌握统计学基本理论；系统掌握数据采集、处理、分析和开发的知识与技能；具备熟练应用计算机处理和分析数据的能力；能够独立完成对实际问题的统计分析并撰写规范的统计分析报告；体魄健康的德、智、体、美全面发展，能够在国家机关、党群团体、企事业单位及科研院所从事统计调查咨询、数据分析、决策支持和信息管理的高层次、应用型统计专门人才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napToGrid w:val="0"/>
        <w:spacing w:before="156" w:beforeLines="50" w:line="400" w:lineRule="exact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统计学理论与方法、中级计量经济学、学术规范与论文写作、多元统计分析、教育科学研究方法、金融工程学、金融风险管理、非参数统计、中级经济学（宏、微观）、经济预测与决策、时间序列分析、复杂数据建模与统计计算、抽样技术、机器学习等。</w:t>
      </w:r>
    </w:p>
    <w:p>
      <w:pPr>
        <w:widowControl/>
        <w:snapToGrid w:val="0"/>
        <w:spacing w:before="156" w:beforeLines="50" w:line="400" w:lineRule="exact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/>
          <w:color w:val="000000"/>
          <w:sz w:val="24"/>
        </w:rPr>
        <w:t>国家机关、党群团体、企事业单位、咨询机构及科研院所</w:t>
      </w:r>
      <w:r>
        <w:rPr>
          <w:rFonts w:hint="eastAsia" w:ascii="宋体" w:hAnsi="宋体" w:cs="宋体"/>
          <w:kern w:val="0"/>
          <w:sz w:val="24"/>
        </w:rPr>
        <w:t>等。</w:t>
      </w: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专业代码：025200                            咨询电话：020-84096292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6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初试科目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社会经济统计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</w:t>
            </w:r>
            <w:r>
              <w:rPr>
                <w:rFonts w:hint="eastAsia" w:ascii="宋体" w:hAnsi="宋体" w:cs="宋体"/>
                <w:sz w:val="24"/>
              </w:rPr>
              <w:t>▲3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96经济学联考（150分）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（4）统计学（150分）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计量经济学（100分）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大数据分析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szCs w:val="20"/>
        </w:rPr>
        <w:t>▲表示统考科目或联考科目，考试题型、考试大纲以教育部公布为准。其他为自命题科目</w:t>
      </w: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《统计学》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（1）问答题（5题，每题10分，共50分）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（2）计算题（5题，每题15分，共75分）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（3）综合分析题（1题，每题25分，共25分）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《计量经济学》 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（1）问答题（4题，每题10分，共40分）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（2）计算与综合分析题（3题，每题20分，共60分）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考试大纲</w:t>
      </w: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《统计学》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《统计学》考试大纲概述：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统计学：包括统计学基础、概率论与数理统计两部分，其中统计学基础占60%，包括收集数据、整理和显示数据、数据分布特征、相关与回归分析、时间序列分析和指数分析等；概率论与数理统计占40%，包括随机变量及其概率分布、多维随机变量、统计量及其分布、参数估计及假设检验等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一、统计学基础的考试范围</w:t>
      </w:r>
      <w:r>
        <w:rPr>
          <w:rFonts w:hint="eastAsia" w:ascii="宋体" w:hAnsi="宋体" w:cs="宋体"/>
          <w:kern w:val="0"/>
          <w:sz w:val="24"/>
        </w:rPr>
        <w:t>（占总分60%）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 统计学的含义和作用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 统计学的基本概念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第二章  收集数据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统计调查方案设计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数据收集来源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原始数据的收集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问卷设计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第五节 统计数据的质量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第三章  整理和显示数据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数据的预处理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定性数据的整理与显示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定量数据的整理与显示 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图表的合理使用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数据分布特征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数据集中趋势的测定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数据离散程度的测定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数据分布形态的测定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相关与回归分析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相关分析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一元线性回归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多元线性回归</w:t>
      </w:r>
    </w:p>
    <w:p>
      <w:pPr>
        <w:autoSpaceDE w:val="0"/>
        <w:autoSpaceDN w:val="0"/>
        <w:adjustRightInd w:val="0"/>
        <w:spacing w:line="400" w:lineRule="exact"/>
        <w:ind w:firstLine="211" w:firstLineChars="1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时间序列分析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时间序列的基本概念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时间序列的描述性分析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时间序列的预测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黑体" w:hAnsi="Verdana" w:eastAsia="黑体"/>
          <w:szCs w:val="21"/>
        </w:rPr>
      </w:pPr>
      <w:r>
        <w:rPr>
          <w:rFonts w:hint="eastAsia" w:ascii="宋体" w:hAnsi="宋体"/>
          <w:b/>
          <w:szCs w:val="21"/>
        </w:rPr>
        <w:t>第七章  指数分析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Verdana" w:eastAsia="黑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指数的基本概念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Verdana" w:eastAsia="黑体"/>
          <w:szCs w:val="21"/>
        </w:rPr>
      </w:pPr>
      <w:r>
        <w:rPr>
          <w:rFonts w:hint="eastAsia" w:ascii="宋体" w:hAnsi="宋体"/>
          <w:szCs w:val="21"/>
        </w:rPr>
        <w:t>第二节 综合指数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Verdana" w:eastAsia="黑体"/>
          <w:szCs w:val="21"/>
        </w:rPr>
      </w:pPr>
      <w:r>
        <w:rPr>
          <w:rFonts w:hint="eastAsia" w:ascii="宋体" w:hAnsi="宋体"/>
          <w:szCs w:val="21"/>
        </w:rPr>
        <w:t>第三节 平均指数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Verdana" w:eastAsia="黑体"/>
          <w:szCs w:val="21"/>
        </w:rPr>
      </w:pPr>
      <w:r>
        <w:rPr>
          <w:rFonts w:hint="eastAsia" w:ascii="宋体" w:hAnsi="宋体"/>
          <w:szCs w:val="21"/>
        </w:rPr>
        <w:t>第四节 指数体系与因素分析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二、概率论与数理统计考试范围</w:t>
      </w:r>
      <w:r>
        <w:rPr>
          <w:rFonts w:hint="eastAsia" w:ascii="宋体" w:hAnsi="宋体" w:cs="宋体"/>
          <w:kern w:val="0"/>
          <w:sz w:val="24"/>
        </w:rPr>
        <w:t>（占总分40%）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随机事件及其概率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随机事件及其运算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事件的概率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概率的性质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独立性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第五节 条件概率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 随机变量及其概率分布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随机变量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离散随机变量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连续随机变量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方差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第五节 随机变量的其它特征数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多维随机变量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多维随机变量及其联合分布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随机变量的独立性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多维随机变量的特征数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条件分布与条件期望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第五节 中心极限定理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统计量及其分布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总体与样本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统计量与抽样分布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次序统计量及其分布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参数估计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点估计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Verdana" w:eastAsia="黑体"/>
          <w:color w:val="FF0000"/>
          <w:szCs w:val="21"/>
        </w:rPr>
      </w:pPr>
      <w:r>
        <w:rPr>
          <w:rFonts w:hint="eastAsia" w:ascii="宋体" w:hAnsi="宋体"/>
          <w:szCs w:val="21"/>
        </w:rPr>
        <w:t>第二节 区间估计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两个总体的参数估计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样本容量的确定</w:t>
      </w:r>
    </w:p>
    <w:p>
      <w:pPr>
        <w:autoSpaceDE w:val="0"/>
        <w:autoSpaceDN w:val="0"/>
        <w:adjustRightInd w:val="0"/>
        <w:spacing w:line="400" w:lineRule="exact"/>
        <w:ind w:firstLine="207" w:firstLineChars="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假设检验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假设检验的基本原理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一个总体参数的假设检验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两个总体参数的检验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第七章 方差分析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方差分析引论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单因素方差分析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双因素方差分析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napToGrid w:val="0"/>
        <w:spacing w:line="40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spacing w:line="400" w:lineRule="exact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《计量经济学》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《风险管理》考试大纲概述：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计量经济学：包括建模步骤、一元线性回归模型（包括概念、基本假设、参数估计、统计检验和预测）、多元线性回归模型（包括概念、基本假设、参数估计、统计检验和预测）、放宽基本假定的模型（包括多重共线性、异方差性、内生性解释变量问题、模型设定偏误问题）、时间序列计量经济学模型和非经典截面数据计量经济学模型等内容。考察学生对计量经济学的基本思想、基本方法及本领域基本知识的掌握程度；注重对学生知识结构和理论功底的考察，尤其是对学生使用计量模型解决实际问题能力的考察。</w:t>
      </w:r>
    </w:p>
    <w:p>
      <w:pPr>
        <w:widowControl/>
        <w:snapToGrid w:val="0"/>
        <w:spacing w:line="4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《计量经济学》考试范围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绪论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计量经济学基本概念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第二节 建立经典单方程计量经济学模型的步骤和要点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第三节 计量经济学模型的应用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/>
          <w:b/>
          <w:szCs w:val="21"/>
        </w:rPr>
        <w:t>第二章 经典单方程计量经济学模型：一元线性回归模型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回归分析概述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第二节 一元线性回归模型的基本假设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第三节 一元线性回归模型的参数估计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第四节 一元线性回归模型的统计检验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第五节 一元线性回归分析的应用：预测问题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/>
          <w:b/>
          <w:szCs w:val="21"/>
        </w:rPr>
        <w:t>第三章 经典单方程计量经济学模型：多元线性回归模型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多元线性回归模型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第二节 多元线性回归模型的参数估计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第三节 多元线性回归模型的统计检验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第四节 多元线性回归模型的预测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第五节 可化为线性的多元非线性回归模型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第六节 含有虚拟变量的多元线性回归模型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第七节 受约束回归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/>
          <w:b/>
          <w:szCs w:val="21"/>
        </w:rPr>
        <w:t>第四章 经典单方程计量经济学模型：放宽基本假定的模型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多重共线性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第二节 异方差性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第三节 内生性解释变量问题</w:t>
      </w:r>
    </w:p>
    <w:p>
      <w:pPr>
        <w:spacing w:line="400" w:lineRule="exact"/>
        <w:ind w:firstLine="210" w:firstLineChars="1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第四节 模型设定偏误问题</w:t>
      </w:r>
    </w:p>
    <w:p>
      <w:pPr>
        <w:spacing w:line="400" w:lineRule="exact"/>
        <w:ind w:left="211" w:hanging="211" w:hangingChars="1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第五章 时间序列计量经济学模型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时间序列模型的序列相关性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第二节 时间序列模型的平稳性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第三节 协整与误差修正模型</w:t>
      </w:r>
    </w:p>
    <w:p>
      <w:pPr>
        <w:spacing w:line="400" w:lineRule="exact"/>
        <w:ind w:firstLine="210" w:firstLineChars="1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第四节 格兰杰因果关系检验</w:t>
      </w:r>
    </w:p>
    <w:p>
      <w:pPr>
        <w:spacing w:line="400" w:lineRule="exact"/>
        <w:ind w:left="211" w:hanging="211" w:hangingChars="1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第六章 非经典截面数据计量经济学模型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第一节 选择性样本计量经济学模型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第二节 二元离散选择模型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第三节 固定效应面板模型</w:t>
      </w:r>
    </w:p>
    <w:p>
      <w:pPr>
        <w:widowControl/>
        <w:snapToGrid w:val="0"/>
        <w:spacing w:line="400" w:lineRule="exact"/>
        <w:rPr>
          <w:rFonts w:hint="eastAsia" w:ascii="宋体" w:hAnsi="宋体" w:cs="宋体"/>
          <w:b/>
          <w:sz w:val="24"/>
        </w:rPr>
      </w:pPr>
    </w:p>
    <w:p>
      <w:pPr>
        <w:widowControl/>
        <w:snapToGrid w:val="0"/>
        <w:spacing w:line="400" w:lineRule="exact"/>
        <w:rPr>
          <w:rFonts w:hint="eastAsia" w:ascii="宋体" w:hAnsi="宋体" w:cs="宋体"/>
          <w:b/>
          <w:sz w:val="24"/>
        </w:rPr>
      </w:pPr>
    </w:p>
    <w:p>
      <w:pPr>
        <w:widowControl/>
        <w:snapToGrid w:val="0"/>
        <w:spacing w:line="400" w:lineRule="exact"/>
        <w:rPr>
          <w:rFonts w:hint="eastAsia" w:ascii="宋体" w:hAnsi="宋体" w:cs="宋体"/>
          <w:b/>
          <w:sz w:val="24"/>
        </w:rPr>
      </w:pPr>
    </w:p>
    <w:p>
      <w:pPr>
        <w:widowControl/>
        <w:snapToGrid w:val="0"/>
        <w:spacing w:line="400" w:lineRule="exact"/>
        <w:rPr>
          <w:rFonts w:hint="eastAsia" w:ascii="宋体" w:hAnsi="宋体" w:cs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9A49F"/>
    <w:multiLevelType w:val="singleLevel"/>
    <w:tmpl w:val="2B39A49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OGVjZDgwMjI3NzdiYzY2OWI0OWMxMGRkZmExNjUifQ=="/>
  </w:docVars>
  <w:rsids>
    <w:rsidRoot w:val="00172A27"/>
    <w:rsid w:val="00000D1B"/>
    <w:rsid w:val="000052D2"/>
    <w:rsid w:val="000E209B"/>
    <w:rsid w:val="00110B92"/>
    <w:rsid w:val="00114E67"/>
    <w:rsid w:val="001700EB"/>
    <w:rsid w:val="00203397"/>
    <w:rsid w:val="00251EFE"/>
    <w:rsid w:val="003311D1"/>
    <w:rsid w:val="0033156B"/>
    <w:rsid w:val="00405C29"/>
    <w:rsid w:val="00426422"/>
    <w:rsid w:val="00482FEF"/>
    <w:rsid w:val="00497C15"/>
    <w:rsid w:val="004C055E"/>
    <w:rsid w:val="00502AFC"/>
    <w:rsid w:val="005058D8"/>
    <w:rsid w:val="005119A6"/>
    <w:rsid w:val="00556D27"/>
    <w:rsid w:val="005B62D8"/>
    <w:rsid w:val="005E5ECF"/>
    <w:rsid w:val="00674892"/>
    <w:rsid w:val="006840EC"/>
    <w:rsid w:val="006C1DEF"/>
    <w:rsid w:val="007052BF"/>
    <w:rsid w:val="0079338B"/>
    <w:rsid w:val="007A4B4C"/>
    <w:rsid w:val="00811436"/>
    <w:rsid w:val="008124E0"/>
    <w:rsid w:val="008207D2"/>
    <w:rsid w:val="00850B99"/>
    <w:rsid w:val="0087561E"/>
    <w:rsid w:val="008B2192"/>
    <w:rsid w:val="008B7949"/>
    <w:rsid w:val="008E3D3B"/>
    <w:rsid w:val="009053C1"/>
    <w:rsid w:val="009652BC"/>
    <w:rsid w:val="00A07955"/>
    <w:rsid w:val="00A176D6"/>
    <w:rsid w:val="00A31810"/>
    <w:rsid w:val="00A60077"/>
    <w:rsid w:val="00A7220E"/>
    <w:rsid w:val="00AB0DC7"/>
    <w:rsid w:val="00B015F3"/>
    <w:rsid w:val="00B2307B"/>
    <w:rsid w:val="00B331DE"/>
    <w:rsid w:val="00B63DD0"/>
    <w:rsid w:val="00BF21EF"/>
    <w:rsid w:val="00C00703"/>
    <w:rsid w:val="00C070DF"/>
    <w:rsid w:val="00C43847"/>
    <w:rsid w:val="00CC0FB0"/>
    <w:rsid w:val="00D90D0E"/>
    <w:rsid w:val="00DF341F"/>
    <w:rsid w:val="00E32FDB"/>
    <w:rsid w:val="00EF3882"/>
    <w:rsid w:val="0130732D"/>
    <w:rsid w:val="05233F1D"/>
    <w:rsid w:val="053B7608"/>
    <w:rsid w:val="0B073F58"/>
    <w:rsid w:val="0B5E401A"/>
    <w:rsid w:val="118D32C9"/>
    <w:rsid w:val="15EB2B9A"/>
    <w:rsid w:val="16C35648"/>
    <w:rsid w:val="16F96BFB"/>
    <w:rsid w:val="173310BF"/>
    <w:rsid w:val="17941033"/>
    <w:rsid w:val="180D6386"/>
    <w:rsid w:val="18992062"/>
    <w:rsid w:val="18D85224"/>
    <w:rsid w:val="194001DB"/>
    <w:rsid w:val="19F033D0"/>
    <w:rsid w:val="1DF52F8F"/>
    <w:rsid w:val="20BF6999"/>
    <w:rsid w:val="20E93F65"/>
    <w:rsid w:val="21274A8D"/>
    <w:rsid w:val="26AB1A3A"/>
    <w:rsid w:val="26F874CF"/>
    <w:rsid w:val="2846461B"/>
    <w:rsid w:val="2BD27575"/>
    <w:rsid w:val="3809685F"/>
    <w:rsid w:val="3BD35E89"/>
    <w:rsid w:val="3EE93B19"/>
    <w:rsid w:val="3F18753E"/>
    <w:rsid w:val="408938D1"/>
    <w:rsid w:val="40CC58E2"/>
    <w:rsid w:val="4142EEC7"/>
    <w:rsid w:val="4158319A"/>
    <w:rsid w:val="43FE64FD"/>
    <w:rsid w:val="49E02750"/>
    <w:rsid w:val="49F7B2C2"/>
    <w:rsid w:val="4C654488"/>
    <w:rsid w:val="502F01B3"/>
    <w:rsid w:val="520621F1"/>
    <w:rsid w:val="52921798"/>
    <w:rsid w:val="52FA1521"/>
    <w:rsid w:val="5429409D"/>
    <w:rsid w:val="547E2C66"/>
    <w:rsid w:val="560A6523"/>
    <w:rsid w:val="5A020826"/>
    <w:rsid w:val="5CC464DF"/>
    <w:rsid w:val="5DA075C3"/>
    <w:rsid w:val="5DAB2A35"/>
    <w:rsid w:val="61E77070"/>
    <w:rsid w:val="69405A91"/>
    <w:rsid w:val="6B614BF2"/>
    <w:rsid w:val="6D8C547D"/>
    <w:rsid w:val="6F4A0800"/>
    <w:rsid w:val="703722D4"/>
    <w:rsid w:val="70891B21"/>
    <w:rsid w:val="76792808"/>
    <w:rsid w:val="77407A03"/>
    <w:rsid w:val="784125AB"/>
    <w:rsid w:val="79BB5FCB"/>
    <w:rsid w:val="7B1706C7"/>
    <w:rsid w:val="7B9B1293"/>
    <w:rsid w:val="7EF92496"/>
    <w:rsid w:val="7FBD0670"/>
    <w:rsid w:val="9E4E597A"/>
    <w:rsid w:val="B575AD0D"/>
    <w:rsid w:val="C1F8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styleId="13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424</Words>
  <Characters>2419</Characters>
  <Lines>20</Lines>
  <Paragraphs>5</Paragraphs>
  <TotalTime>0</TotalTime>
  <ScaleCrop>false</ScaleCrop>
  <LinksUpToDate>false</LinksUpToDate>
  <CharactersWithSpaces>2838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2020-09-03T03:11:00Z</dcterms:created>
  <dc:creator>Owner</dc:creator>
  <cp:lastModifiedBy>vertesyuan</cp:lastModifiedBy>
  <cp:lastPrinted>2018-05-23T03:46:00Z</cp:lastPrinted>
  <dcterms:modified xsi:type="dcterms:W3CDTF">2024-01-08T06:32:27Z</dcterms:modified>
  <dc:title>2010年广东商学院保险硕士专业学位招生简章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F3201BBC4C114988B097AD246C6DF9EE_13</vt:lpwstr>
  </property>
</Properties>
</file>