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EastAsia" w:hAnsiTheme="minorEastAsia" w:cstheme="minorEastAsia"/>
          <w:b/>
          <w:kern w:val="0"/>
          <w:sz w:val="36"/>
          <w:szCs w:val="36"/>
        </w:rPr>
      </w:pPr>
      <w:r>
        <w:rPr>
          <w:rFonts w:hint="eastAsia" w:asciiTheme="minorEastAsia" w:hAnsiTheme="minorEastAsia" w:cstheme="minorEastAsia"/>
          <w:b/>
          <w:kern w:val="0"/>
          <w:sz w:val="36"/>
          <w:szCs w:val="36"/>
        </w:rPr>
        <w:t>会计125300</w:t>
      </w:r>
    </w:p>
    <w:p>
      <w:pPr>
        <w:widowControl/>
        <w:spacing w:line="360" w:lineRule="auto"/>
        <w:jc w:val="center"/>
        <w:rPr>
          <w:rFonts w:asciiTheme="minorEastAsia" w:hAnsiTheme="minorEastAsia" w:cstheme="minorEastAsia"/>
          <w:b/>
          <w:kern w:val="0"/>
          <w:sz w:val="36"/>
          <w:szCs w:val="36"/>
        </w:rPr>
      </w:pPr>
    </w:p>
    <w:p>
      <w:pPr>
        <w:spacing w:line="360" w:lineRule="auto"/>
        <w:rPr>
          <w:rFonts w:hint="eastAsia" w:ascii="宋体" w:hAnsi="宋体"/>
          <w:color w:val="000000"/>
          <w:sz w:val="24"/>
          <w:szCs w:val="20"/>
        </w:rPr>
      </w:pPr>
      <w:r>
        <w:rPr>
          <w:rStyle w:val="9"/>
          <w:rFonts w:hint="eastAsia" w:asciiTheme="minorEastAsia" w:hAnsiTheme="minorEastAsia" w:cstheme="minorEastAsia"/>
        </w:rPr>
        <w:t>学科点简介：</w:t>
      </w:r>
      <w:r>
        <w:rPr>
          <w:rFonts w:hint="eastAsia" w:ascii="宋体" w:hAnsi="宋体"/>
          <w:sz w:val="24"/>
          <w:szCs w:val="20"/>
          <w:lang w:eastAsia="zh-Hans"/>
        </w:rPr>
        <w:t>智能财会管理学院现有教工</w:t>
      </w:r>
      <w:r>
        <w:rPr>
          <w:rFonts w:hint="eastAsia" w:ascii="宋体" w:hAnsi="宋体"/>
          <w:sz w:val="24"/>
          <w:szCs w:val="20"/>
        </w:rPr>
        <w:t>34人，专任教师2</w:t>
      </w:r>
      <w:r>
        <w:rPr>
          <w:rFonts w:ascii="宋体" w:hAnsi="宋体"/>
          <w:sz w:val="24"/>
          <w:szCs w:val="20"/>
        </w:rPr>
        <w:t>8</w:t>
      </w:r>
      <w:r>
        <w:rPr>
          <w:rFonts w:hint="eastAsia" w:ascii="宋体" w:hAnsi="宋体"/>
          <w:sz w:val="24"/>
          <w:szCs w:val="20"/>
        </w:rPr>
        <w:t>人，</w:t>
      </w:r>
      <w:r>
        <w:rPr>
          <w:rFonts w:hint="eastAsia" w:ascii="宋体" w:hAnsi="宋体"/>
          <w:color w:val="000000"/>
          <w:sz w:val="24"/>
          <w:szCs w:val="20"/>
          <w:lang w:eastAsia="zh-Hans"/>
        </w:rPr>
        <w:t>其中教授</w:t>
      </w:r>
      <w:r>
        <w:rPr>
          <w:rFonts w:hint="eastAsia" w:ascii="宋体" w:hAnsi="宋体"/>
          <w:color w:val="000000"/>
          <w:sz w:val="24"/>
          <w:szCs w:val="20"/>
        </w:rPr>
        <w:t>7</w:t>
      </w:r>
      <w:r>
        <w:rPr>
          <w:rFonts w:hint="eastAsia" w:ascii="宋体" w:hAnsi="宋体"/>
          <w:color w:val="000000"/>
          <w:sz w:val="24"/>
          <w:szCs w:val="20"/>
          <w:lang w:eastAsia="zh-Hans"/>
        </w:rPr>
        <w:t>人、副教授1</w:t>
      </w:r>
      <w:r>
        <w:rPr>
          <w:rFonts w:hint="eastAsia" w:ascii="宋体" w:hAnsi="宋体"/>
          <w:color w:val="000000"/>
          <w:sz w:val="24"/>
          <w:szCs w:val="20"/>
        </w:rPr>
        <w:t>2</w:t>
      </w:r>
      <w:r>
        <w:rPr>
          <w:rFonts w:hint="eastAsia" w:ascii="宋体" w:hAnsi="宋体"/>
          <w:color w:val="000000"/>
          <w:sz w:val="24"/>
          <w:szCs w:val="20"/>
          <w:lang w:eastAsia="zh-Hans"/>
        </w:rPr>
        <w:t>人，具有博士学位的教师2</w:t>
      </w:r>
      <w:r>
        <w:rPr>
          <w:rFonts w:hint="eastAsia" w:ascii="宋体" w:hAnsi="宋体"/>
          <w:color w:val="000000"/>
          <w:sz w:val="24"/>
          <w:szCs w:val="20"/>
        </w:rPr>
        <w:t>3</w:t>
      </w:r>
      <w:r>
        <w:rPr>
          <w:rFonts w:hint="eastAsia" w:ascii="宋体" w:hAnsi="宋体"/>
          <w:color w:val="000000"/>
          <w:sz w:val="24"/>
          <w:szCs w:val="20"/>
          <w:lang w:eastAsia="zh-Hans"/>
        </w:rPr>
        <w:t>人</w:t>
      </w:r>
      <w:r>
        <w:rPr>
          <w:rFonts w:hint="eastAsia" w:ascii="宋体" w:hAnsi="宋体"/>
          <w:color w:val="000000"/>
          <w:sz w:val="24"/>
          <w:szCs w:val="20"/>
        </w:rPr>
        <w:t>。</w:t>
      </w:r>
      <w:r>
        <w:rPr>
          <w:rFonts w:hint="eastAsia" w:ascii="宋体" w:hAnsi="宋体"/>
          <w:color w:val="000000"/>
          <w:sz w:val="24"/>
          <w:szCs w:val="20"/>
          <w:lang w:eastAsia="zh-Hans"/>
        </w:rPr>
        <w:t>本学位点</w:t>
      </w:r>
      <w:r>
        <w:rPr>
          <w:rFonts w:hint="eastAsia" w:ascii="宋体" w:hAnsi="宋体"/>
          <w:color w:val="000000"/>
          <w:sz w:val="24"/>
          <w:szCs w:val="20"/>
        </w:rPr>
        <w:t>师资队伍中有</w:t>
      </w:r>
      <w:r>
        <w:rPr>
          <w:rFonts w:hint="eastAsia" w:ascii="宋体" w:hAnsi="宋体"/>
          <w:color w:val="000000"/>
          <w:sz w:val="24"/>
          <w:szCs w:val="20"/>
          <w:lang w:eastAsia="zh-Hans"/>
        </w:rPr>
        <w:t>博士生导师4人</w:t>
      </w:r>
      <w:r>
        <w:rPr>
          <w:rFonts w:hint="eastAsia" w:ascii="宋体" w:hAnsi="宋体"/>
          <w:color w:val="000000"/>
          <w:sz w:val="24"/>
          <w:szCs w:val="20"/>
        </w:rPr>
        <w:t>，</w:t>
      </w:r>
      <w:r>
        <w:rPr>
          <w:rFonts w:hint="eastAsia" w:ascii="宋体" w:hAnsi="宋体"/>
          <w:color w:val="000000"/>
          <w:sz w:val="24"/>
          <w:szCs w:val="20"/>
          <w:lang w:eastAsia="zh-Hans"/>
        </w:rPr>
        <w:t>硕士导师</w:t>
      </w:r>
      <w:r>
        <w:rPr>
          <w:rFonts w:hint="eastAsia" w:ascii="宋体" w:hAnsi="宋体"/>
          <w:color w:val="000000"/>
          <w:sz w:val="24"/>
          <w:szCs w:val="20"/>
        </w:rPr>
        <w:t>19</w:t>
      </w:r>
      <w:r>
        <w:rPr>
          <w:rFonts w:hint="eastAsia" w:ascii="宋体" w:hAnsi="宋体"/>
          <w:color w:val="000000"/>
          <w:sz w:val="24"/>
          <w:szCs w:val="20"/>
          <w:lang w:eastAsia="zh-Hans"/>
        </w:rPr>
        <w:t>人</w:t>
      </w:r>
      <w:r>
        <w:rPr>
          <w:rFonts w:hint="eastAsia" w:ascii="宋体" w:hAnsi="宋体"/>
          <w:color w:val="000000"/>
          <w:sz w:val="24"/>
          <w:szCs w:val="20"/>
        </w:rPr>
        <w:t>，</w:t>
      </w:r>
      <w:r>
        <w:rPr>
          <w:rFonts w:hint="eastAsia" w:ascii="宋体" w:hAnsi="宋体"/>
          <w:color w:val="000000"/>
          <w:sz w:val="24"/>
          <w:szCs w:val="20"/>
          <w:lang w:eastAsia="zh-Hans"/>
        </w:rPr>
        <w:t>博士后合作导师</w:t>
      </w:r>
      <w:r>
        <w:rPr>
          <w:rFonts w:hint="eastAsia" w:ascii="宋体" w:hAnsi="宋体"/>
          <w:color w:val="000000"/>
          <w:sz w:val="24"/>
          <w:szCs w:val="20"/>
        </w:rPr>
        <w:t>4</w:t>
      </w:r>
      <w:r>
        <w:rPr>
          <w:rFonts w:hint="eastAsia" w:ascii="宋体" w:hAnsi="宋体"/>
          <w:color w:val="000000"/>
          <w:sz w:val="24"/>
          <w:szCs w:val="20"/>
          <w:lang w:eastAsia="zh-Hans"/>
        </w:rPr>
        <w:t>人；聘请校外实践导师</w:t>
      </w:r>
      <w:r>
        <w:rPr>
          <w:rFonts w:hint="eastAsia" w:ascii="宋体" w:hAnsi="宋体"/>
          <w:color w:val="000000"/>
          <w:sz w:val="24"/>
          <w:szCs w:val="20"/>
        </w:rPr>
        <w:t>173</w:t>
      </w:r>
      <w:r>
        <w:rPr>
          <w:rFonts w:hint="eastAsia" w:ascii="宋体" w:hAnsi="宋体"/>
          <w:color w:val="000000"/>
          <w:sz w:val="24"/>
          <w:szCs w:val="20"/>
          <w:lang w:eastAsia="zh-Hans"/>
        </w:rPr>
        <w:t>人；全国先进会计工作者1人，全国会计领军人才特支计划入选者1人</w:t>
      </w:r>
      <w:r>
        <w:rPr>
          <w:rFonts w:hint="eastAsia" w:ascii="宋体" w:hAnsi="宋体"/>
          <w:color w:val="000000"/>
          <w:sz w:val="24"/>
          <w:szCs w:val="20"/>
        </w:rPr>
        <w:t>，</w:t>
      </w:r>
      <w:r>
        <w:rPr>
          <w:rFonts w:hint="eastAsia" w:ascii="宋体" w:hAnsi="宋体"/>
          <w:color w:val="000000"/>
          <w:sz w:val="24"/>
          <w:szCs w:val="20"/>
          <w:lang w:eastAsia="zh-Hans"/>
        </w:rPr>
        <w:t>财政部全国</w:t>
      </w:r>
      <w:r>
        <w:rPr>
          <w:rFonts w:hint="eastAsia" w:ascii="宋体" w:hAnsi="宋体"/>
          <w:color w:val="000000"/>
          <w:sz w:val="24"/>
          <w:szCs w:val="20"/>
        </w:rPr>
        <w:t>高端会计</w:t>
      </w:r>
      <w:r>
        <w:rPr>
          <w:rFonts w:hint="eastAsia" w:ascii="宋体" w:hAnsi="宋体"/>
          <w:color w:val="000000"/>
          <w:sz w:val="24"/>
          <w:szCs w:val="20"/>
          <w:lang w:eastAsia="zh-Hans"/>
        </w:rPr>
        <w:t>人才</w:t>
      </w:r>
      <w:r>
        <w:rPr>
          <w:rFonts w:hint="eastAsia" w:ascii="宋体" w:hAnsi="宋体"/>
          <w:color w:val="000000"/>
          <w:sz w:val="24"/>
          <w:szCs w:val="20"/>
        </w:rPr>
        <w:t>4</w:t>
      </w:r>
      <w:r>
        <w:rPr>
          <w:rFonts w:hint="eastAsia" w:ascii="宋体" w:hAnsi="宋体"/>
          <w:color w:val="000000"/>
          <w:sz w:val="24"/>
          <w:szCs w:val="20"/>
          <w:lang w:eastAsia="zh-Hans"/>
        </w:rPr>
        <w:t>人</w:t>
      </w:r>
      <w:r>
        <w:rPr>
          <w:rFonts w:hint="eastAsia" w:ascii="宋体" w:hAnsi="宋体"/>
          <w:color w:val="000000"/>
          <w:sz w:val="24"/>
          <w:szCs w:val="20"/>
        </w:rPr>
        <w:t>，</w:t>
      </w:r>
      <w:r>
        <w:rPr>
          <w:rFonts w:hint="eastAsia" w:ascii="宋体" w:hAnsi="宋体"/>
          <w:color w:val="000000"/>
          <w:sz w:val="24"/>
          <w:szCs w:val="20"/>
          <w:lang w:eastAsia="zh-Hans"/>
        </w:rPr>
        <w:t>广东省高端会计人才</w:t>
      </w:r>
      <w:r>
        <w:rPr>
          <w:rFonts w:hint="eastAsia" w:ascii="宋体" w:hAnsi="宋体"/>
          <w:color w:val="000000"/>
          <w:sz w:val="24"/>
          <w:szCs w:val="20"/>
        </w:rPr>
        <w:t>4</w:t>
      </w:r>
      <w:r>
        <w:rPr>
          <w:rFonts w:hint="eastAsia" w:ascii="宋体" w:hAnsi="宋体"/>
          <w:color w:val="000000"/>
          <w:sz w:val="24"/>
          <w:szCs w:val="20"/>
          <w:lang w:eastAsia="zh-Hans"/>
        </w:rPr>
        <w:t>人</w:t>
      </w:r>
      <w:r>
        <w:rPr>
          <w:rFonts w:hint="eastAsia" w:ascii="宋体" w:hAnsi="宋体"/>
          <w:color w:val="000000"/>
          <w:sz w:val="24"/>
          <w:szCs w:val="20"/>
        </w:rPr>
        <w:t>；</w:t>
      </w:r>
      <w:r>
        <w:rPr>
          <w:rFonts w:hint="eastAsia" w:ascii="宋体" w:hAnsi="宋体"/>
          <w:color w:val="000000"/>
          <w:sz w:val="24"/>
          <w:szCs w:val="20"/>
          <w:lang w:eastAsia="zh-Hans"/>
        </w:rPr>
        <w:t>广东省高等学校“千百十人才工程”培养对象11人，广东省高等学校优秀青年教师培养对象</w:t>
      </w:r>
      <w:r>
        <w:rPr>
          <w:rFonts w:hint="eastAsia" w:ascii="宋体" w:hAnsi="宋体"/>
          <w:color w:val="000000"/>
          <w:sz w:val="24"/>
          <w:szCs w:val="20"/>
        </w:rPr>
        <w:t>4</w:t>
      </w:r>
      <w:r>
        <w:rPr>
          <w:rFonts w:hint="eastAsia" w:ascii="宋体" w:hAnsi="宋体"/>
          <w:color w:val="000000"/>
          <w:sz w:val="24"/>
          <w:szCs w:val="20"/>
          <w:lang w:eastAsia="zh-Hans"/>
        </w:rPr>
        <w:t>人</w:t>
      </w:r>
      <w:r>
        <w:rPr>
          <w:rFonts w:hint="eastAsia" w:ascii="宋体" w:hAnsi="宋体"/>
          <w:color w:val="000000"/>
          <w:sz w:val="24"/>
          <w:szCs w:val="20"/>
        </w:rPr>
        <w:t>，南粤优秀教师4人</w:t>
      </w:r>
      <w:r>
        <w:rPr>
          <w:rFonts w:hint="eastAsia" w:ascii="宋体" w:hAnsi="宋体"/>
          <w:color w:val="000000"/>
          <w:sz w:val="24"/>
          <w:szCs w:val="20"/>
          <w:lang w:eastAsia="zh-Hans"/>
        </w:rPr>
        <w:t>；广东高校辅导员年度人物1人。先后有多名教师作为访问学者到美国、加拿大、澳大利亚等国家访学。近</w:t>
      </w:r>
      <w:r>
        <w:rPr>
          <w:rFonts w:hint="eastAsia" w:ascii="宋体" w:hAnsi="宋体"/>
          <w:color w:val="000000"/>
          <w:sz w:val="24"/>
          <w:szCs w:val="20"/>
        </w:rPr>
        <w:t>5</w:t>
      </w:r>
      <w:r>
        <w:rPr>
          <w:rFonts w:hint="eastAsia" w:ascii="宋体" w:hAnsi="宋体"/>
          <w:color w:val="000000"/>
          <w:sz w:val="24"/>
          <w:szCs w:val="20"/>
          <w:lang w:eastAsia="zh-Hans"/>
        </w:rPr>
        <w:t>年</w:t>
      </w:r>
      <w:r>
        <w:rPr>
          <w:rFonts w:hint="eastAsia" w:ascii="宋体" w:hAnsi="宋体"/>
          <w:color w:val="000000"/>
          <w:sz w:val="24"/>
          <w:szCs w:val="20"/>
        </w:rPr>
        <w:t>，</w:t>
      </w:r>
      <w:r>
        <w:rPr>
          <w:rFonts w:hint="eastAsia" w:ascii="宋体" w:hAnsi="宋体"/>
          <w:color w:val="000000"/>
          <w:sz w:val="24"/>
          <w:szCs w:val="20"/>
          <w:lang w:eastAsia="zh-Hans"/>
        </w:rPr>
        <w:t>本学位点</w:t>
      </w:r>
      <w:r>
        <w:rPr>
          <w:rFonts w:hint="eastAsia" w:ascii="宋体" w:hAnsi="宋体"/>
          <w:color w:val="000000"/>
          <w:sz w:val="24"/>
          <w:szCs w:val="20"/>
        </w:rPr>
        <w:t>在研</w:t>
      </w:r>
      <w:r>
        <w:rPr>
          <w:rFonts w:hint="eastAsia" w:ascii="宋体" w:hAnsi="宋体"/>
          <w:color w:val="000000"/>
          <w:sz w:val="24"/>
          <w:szCs w:val="20"/>
          <w:lang w:eastAsia="zh-Hans"/>
        </w:rPr>
        <w:t>国家课题</w:t>
      </w:r>
      <w:r>
        <w:rPr>
          <w:rFonts w:hint="eastAsia" w:ascii="宋体" w:hAnsi="宋体"/>
          <w:color w:val="000000"/>
          <w:sz w:val="24"/>
          <w:szCs w:val="20"/>
        </w:rPr>
        <w:t>9</w:t>
      </w:r>
      <w:r>
        <w:rPr>
          <w:rFonts w:hint="eastAsia" w:ascii="宋体" w:hAnsi="宋体"/>
          <w:color w:val="000000"/>
          <w:sz w:val="24"/>
          <w:szCs w:val="20"/>
          <w:lang w:eastAsia="zh-Hans"/>
        </w:rPr>
        <w:t>项，省部级课题1</w:t>
      </w:r>
      <w:r>
        <w:rPr>
          <w:rFonts w:hint="eastAsia" w:ascii="宋体" w:hAnsi="宋体"/>
          <w:color w:val="000000"/>
          <w:sz w:val="24"/>
          <w:szCs w:val="20"/>
        </w:rPr>
        <w:t>8</w:t>
      </w:r>
      <w:r>
        <w:rPr>
          <w:rFonts w:hint="eastAsia" w:ascii="宋体" w:hAnsi="宋体"/>
          <w:color w:val="000000"/>
          <w:sz w:val="24"/>
          <w:szCs w:val="20"/>
          <w:lang w:eastAsia="zh-Hans"/>
        </w:rPr>
        <w:t>项</w:t>
      </w:r>
      <w:r>
        <w:rPr>
          <w:rFonts w:hint="eastAsia" w:ascii="宋体" w:hAnsi="宋体"/>
          <w:color w:val="000000"/>
          <w:sz w:val="24"/>
          <w:szCs w:val="20"/>
        </w:rPr>
        <w:t>，市厅级课题21项</w:t>
      </w:r>
      <w:r>
        <w:rPr>
          <w:rFonts w:hint="eastAsia" w:ascii="宋体" w:hAnsi="宋体"/>
          <w:color w:val="000000"/>
          <w:sz w:val="24"/>
          <w:szCs w:val="20"/>
          <w:lang w:eastAsia="zh-Hans"/>
        </w:rPr>
        <w:t>；承担政府、企事业单位委托横向课题</w:t>
      </w:r>
      <w:r>
        <w:rPr>
          <w:rFonts w:hint="eastAsia" w:ascii="宋体" w:hAnsi="宋体"/>
          <w:color w:val="000000"/>
          <w:sz w:val="24"/>
          <w:szCs w:val="20"/>
        </w:rPr>
        <w:t>31</w:t>
      </w:r>
      <w:r>
        <w:rPr>
          <w:rFonts w:hint="eastAsia" w:ascii="宋体" w:hAnsi="宋体"/>
          <w:color w:val="000000"/>
          <w:sz w:val="24"/>
          <w:szCs w:val="20"/>
          <w:lang w:eastAsia="zh-Hans"/>
        </w:rPr>
        <w:t>项，合同经费</w:t>
      </w:r>
      <w:r>
        <w:rPr>
          <w:rFonts w:hint="eastAsia" w:ascii="宋体" w:hAnsi="宋体"/>
          <w:color w:val="000000"/>
          <w:sz w:val="24"/>
          <w:szCs w:val="20"/>
        </w:rPr>
        <w:t>850余</w:t>
      </w:r>
      <w:r>
        <w:rPr>
          <w:rFonts w:hint="eastAsia" w:ascii="宋体" w:hAnsi="宋体"/>
          <w:color w:val="000000"/>
          <w:sz w:val="24"/>
          <w:szCs w:val="20"/>
          <w:lang w:eastAsia="zh-Hans"/>
        </w:rPr>
        <w:t>万元；</w:t>
      </w:r>
      <w:r>
        <w:rPr>
          <w:rFonts w:hint="eastAsia" w:ascii="宋体" w:hAnsi="宋体"/>
          <w:color w:val="000000"/>
          <w:sz w:val="24"/>
          <w:szCs w:val="20"/>
        </w:rPr>
        <w:t>近3年</w:t>
      </w:r>
      <w:r>
        <w:rPr>
          <w:rFonts w:hint="eastAsia" w:ascii="宋体" w:hAnsi="宋体"/>
          <w:color w:val="000000"/>
          <w:sz w:val="24"/>
          <w:szCs w:val="20"/>
          <w:lang w:eastAsia="zh-Hans"/>
        </w:rPr>
        <w:t>在国际商科顶级期刊UTD24/FT50、国家自然科学基金委A类期刊、ABS、SSCI、SCI、EI和A&amp;HCI类及</w:t>
      </w:r>
      <w:r>
        <w:rPr>
          <w:rFonts w:hint="eastAsia" w:ascii="宋体" w:hAnsi="宋体"/>
          <w:color w:val="000000"/>
          <w:sz w:val="24"/>
          <w:szCs w:val="20"/>
        </w:rPr>
        <w:t>学校B类</w:t>
      </w:r>
      <w:r>
        <w:rPr>
          <w:rFonts w:hint="eastAsia" w:ascii="宋体" w:hAnsi="宋体"/>
          <w:color w:val="000000"/>
          <w:sz w:val="24"/>
          <w:szCs w:val="20"/>
          <w:lang w:eastAsia="zh-Hans"/>
        </w:rPr>
        <w:t>以上权威期刊发表论文</w:t>
      </w:r>
      <w:r>
        <w:rPr>
          <w:rFonts w:hint="eastAsia" w:ascii="宋体" w:hAnsi="宋体"/>
          <w:color w:val="000000"/>
          <w:sz w:val="24"/>
          <w:szCs w:val="20"/>
        </w:rPr>
        <w:t>30</w:t>
      </w:r>
      <w:r>
        <w:rPr>
          <w:rFonts w:hint="eastAsia" w:ascii="宋体" w:hAnsi="宋体"/>
          <w:color w:val="000000"/>
          <w:sz w:val="24"/>
          <w:szCs w:val="20"/>
          <w:lang w:eastAsia="zh-Hans"/>
        </w:rPr>
        <w:t>篇，在其他CSSCI期刊（集刊）发表论文</w:t>
      </w:r>
      <w:r>
        <w:rPr>
          <w:rFonts w:hint="eastAsia" w:ascii="宋体" w:hAnsi="宋体"/>
          <w:color w:val="000000"/>
          <w:sz w:val="24"/>
          <w:szCs w:val="20"/>
        </w:rPr>
        <w:t>36</w:t>
      </w:r>
      <w:r>
        <w:rPr>
          <w:rFonts w:hint="eastAsia" w:ascii="宋体" w:hAnsi="宋体"/>
          <w:color w:val="000000"/>
          <w:sz w:val="24"/>
          <w:szCs w:val="20"/>
          <w:lang w:eastAsia="zh-Hans"/>
        </w:rPr>
        <w:t>篇</w:t>
      </w:r>
      <w:r>
        <w:rPr>
          <w:rFonts w:hint="eastAsia" w:ascii="宋体" w:hAnsi="宋体"/>
          <w:color w:val="000000"/>
          <w:sz w:val="24"/>
          <w:szCs w:val="20"/>
        </w:rPr>
        <w:t>（第一作者且第一单位），含合作CSSCI论文100余篇</w:t>
      </w:r>
      <w:r>
        <w:rPr>
          <w:rFonts w:hint="eastAsia" w:ascii="宋体" w:hAnsi="宋体"/>
          <w:color w:val="000000"/>
          <w:sz w:val="24"/>
          <w:szCs w:val="20"/>
          <w:lang w:eastAsia="zh-Hans"/>
        </w:rPr>
        <w:t>，出版著作</w:t>
      </w:r>
      <w:r>
        <w:rPr>
          <w:rFonts w:hint="eastAsia" w:ascii="宋体" w:hAnsi="宋体"/>
          <w:color w:val="000000"/>
          <w:sz w:val="24"/>
          <w:szCs w:val="20"/>
        </w:rPr>
        <w:t>和教材7</w:t>
      </w:r>
      <w:r>
        <w:rPr>
          <w:rFonts w:hint="eastAsia" w:ascii="宋体" w:hAnsi="宋体"/>
          <w:color w:val="000000"/>
          <w:sz w:val="24"/>
          <w:szCs w:val="20"/>
          <w:lang w:eastAsia="zh-Hans"/>
        </w:rPr>
        <w:t>部</w:t>
      </w:r>
      <w:r>
        <w:rPr>
          <w:rFonts w:hint="eastAsia" w:ascii="宋体" w:hAnsi="宋体"/>
          <w:color w:val="000000"/>
          <w:sz w:val="24"/>
          <w:szCs w:val="20"/>
        </w:rPr>
        <w:t>，获省部级以上成果奖6项，</w:t>
      </w:r>
      <w:r>
        <w:rPr>
          <w:rFonts w:hint="eastAsia" w:ascii="宋体" w:hAnsi="宋体"/>
          <w:color w:val="000000"/>
          <w:sz w:val="24"/>
          <w:szCs w:val="20"/>
          <w:lang w:eastAsia="zh-Hans"/>
        </w:rPr>
        <w:t>为政府部门、企事业单位提供咨询报告12篇，均得到采纳。</w:t>
      </w:r>
      <w:r>
        <w:rPr>
          <w:rFonts w:hint="eastAsia" w:ascii="宋体" w:hAnsi="宋体"/>
          <w:color w:val="000000"/>
          <w:sz w:val="24"/>
          <w:szCs w:val="20"/>
        </w:rPr>
        <w:t>2007年开始招收会计学学术型研究生，2015年开始招收会计硕士专业学位研究生，2019年开始招收审计硕士专业学位研究生。2015年招生至今，会计硕士毕业生就业率和就业质量均名列前茅。</w:t>
      </w:r>
    </w:p>
    <w:p>
      <w:pPr>
        <w:spacing w:line="360" w:lineRule="auto"/>
        <w:rPr>
          <w:rFonts w:ascii="宋体" w:hAnsi="宋体"/>
          <w:color w:val="auto"/>
          <w:sz w:val="24"/>
          <w:szCs w:val="20"/>
          <w:lang w:eastAsia="zh-Hans"/>
        </w:rPr>
      </w:pPr>
    </w:p>
    <w:p>
      <w:pPr>
        <w:pStyle w:val="6"/>
        <w:widowControl/>
        <w:spacing w:beforeAutospacing="0" w:afterAutospacing="0" w:line="360" w:lineRule="auto"/>
        <w:jc w:val="both"/>
        <w:rPr>
          <w:rFonts w:hint="eastAsia" w:ascii="宋体" w:hAnsi="宋体"/>
          <w:color w:val="000000"/>
          <w:szCs w:val="20"/>
        </w:rPr>
      </w:pPr>
      <w:r>
        <w:rPr>
          <w:rStyle w:val="9"/>
          <w:rFonts w:hint="eastAsia" w:asciiTheme="minorEastAsia" w:hAnsiTheme="minorEastAsia" w:cstheme="minorEastAsia"/>
        </w:rPr>
        <w:t>培养目标：</w:t>
      </w:r>
      <w:r>
        <w:rPr>
          <w:rFonts w:hint="eastAsia" w:ascii="宋体" w:hAnsi="宋体"/>
          <w:color w:val="000000"/>
          <w:szCs w:val="20"/>
          <w:lang w:eastAsia="zh-Hans"/>
        </w:rPr>
        <w:t>本专业对接国家和粤港澳大湾区经济社会发展，</w:t>
      </w:r>
      <w:r>
        <w:rPr>
          <w:rFonts w:hint="eastAsia" w:ascii="宋体" w:hAnsi="宋体"/>
          <w:color w:val="000000"/>
          <w:szCs w:val="20"/>
        </w:rPr>
        <w:t>坚持</w:t>
      </w:r>
      <w:r>
        <w:rPr>
          <w:rFonts w:hint="eastAsia" w:ascii="宋体" w:hAnsi="宋体"/>
          <w:color w:val="000000"/>
          <w:szCs w:val="20"/>
          <w:lang w:eastAsia="zh-Hans"/>
        </w:rPr>
        <w:t>“湾区意识、数智赋能、多元协同、知行合一”的人才培养理念，培养具有优良的思想道德、科学精神、人文素养、专业知识、国际视野和战略思维，能够适应</w:t>
      </w:r>
      <w:r>
        <w:rPr>
          <w:rFonts w:hint="eastAsia" w:ascii="宋体" w:hAnsi="宋体"/>
          <w:color w:val="000000"/>
          <w:szCs w:val="20"/>
        </w:rPr>
        <w:t>环境</w:t>
      </w:r>
      <w:r>
        <w:rPr>
          <w:rFonts w:hint="eastAsia" w:ascii="宋体" w:hAnsi="宋体"/>
          <w:color w:val="000000"/>
          <w:szCs w:val="20"/>
          <w:lang w:eastAsia="zh-Hans"/>
        </w:rPr>
        <w:t>变化、可持续成长的复合型、应用型、创新型高级会计人才。</w:t>
      </w:r>
    </w:p>
    <w:p>
      <w:pPr>
        <w:pStyle w:val="6"/>
        <w:widowControl/>
        <w:spacing w:beforeAutospacing="0" w:afterAutospacing="0" w:line="360" w:lineRule="auto"/>
        <w:jc w:val="both"/>
        <w:rPr>
          <w:rFonts w:asciiTheme="minorEastAsia" w:hAnsiTheme="minorEastAsia" w:cstheme="minorEastAsia"/>
        </w:rPr>
      </w:pPr>
    </w:p>
    <w:p>
      <w:pPr>
        <w:spacing w:line="360" w:lineRule="auto"/>
        <w:rPr>
          <w:rFonts w:hint="eastAsia" w:ascii="宋体" w:hAnsi="宋体"/>
          <w:color w:val="000000"/>
          <w:sz w:val="24"/>
          <w:szCs w:val="20"/>
        </w:rPr>
      </w:pPr>
      <w:r>
        <w:rPr>
          <w:rStyle w:val="9"/>
          <w:rFonts w:hint="eastAsia" w:asciiTheme="minorEastAsia" w:hAnsiTheme="minorEastAsia" w:cstheme="minorEastAsia"/>
        </w:rPr>
        <w:t>主要课程：</w:t>
      </w:r>
      <w:r>
        <w:rPr>
          <w:rFonts w:hint="eastAsia" w:ascii="宋体" w:hAnsi="宋体"/>
          <w:color w:val="000000"/>
          <w:sz w:val="24"/>
          <w:szCs w:val="20"/>
        </w:rPr>
        <w:t>管理理论与实务、学位论文专题、实践调研、案例开发、商业伦理与会计职业道德、财务会计理论与实务、财务管理理论与实务、管理会计理论与实务、审计理论与实务、业财融合与财务共享、数智化管理会计、资本市场与上市筹划、数智化审计、智能风险管理、RPA 财务机器人应用、佛山经济社会发展概况、Python程序设计、大数据财务分析与决策、湾区财经概论、湾区资本市场与财务治理、战略管理与管理咨询等。</w:t>
      </w:r>
    </w:p>
    <w:p>
      <w:pPr>
        <w:spacing w:line="360" w:lineRule="auto"/>
        <w:rPr>
          <w:rFonts w:ascii="宋体" w:hAnsi="宋体"/>
          <w:color w:val="000000"/>
          <w:sz w:val="24"/>
          <w:szCs w:val="20"/>
        </w:rPr>
      </w:pPr>
    </w:p>
    <w:p>
      <w:pPr>
        <w:pStyle w:val="6"/>
        <w:widowControl/>
        <w:spacing w:beforeAutospacing="0" w:afterAutospacing="0" w:line="360" w:lineRule="auto"/>
        <w:jc w:val="both"/>
        <w:rPr>
          <w:rFonts w:hint="eastAsia" w:asciiTheme="minorEastAsia" w:hAnsiTheme="minorEastAsia" w:cstheme="minorEastAsia"/>
        </w:rPr>
      </w:pPr>
      <w:r>
        <w:rPr>
          <w:rStyle w:val="9"/>
          <w:rFonts w:hint="eastAsia" w:asciiTheme="minorEastAsia" w:hAnsiTheme="minorEastAsia" w:cstheme="minorEastAsia"/>
        </w:rPr>
        <w:t>就业方向：</w:t>
      </w:r>
      <w:r>
        <w:rPr>
          <w:rFonts w:hint="eastAsia" w:asciiTheme="minorEastAsia" w:hAnsiTheme="minorEastAsia" w:cstheme="minorEastAsia"/>
        </w:rPr>
        <w:t>为行政事业单位、非营利性组织、上市公司、大型跨国公司、会计师事务所等企业组织培养具有国际视野和战略思维能力的高级会计人员、高级财务管理人员和注册会计师。</w:t>
      </w:r>
    </w:p>
    <w:p>
      <w:pPr>
        <w:pStyle w:val="6"/>
        <w:widowControl/>
        <w:spacing w:beforeAutospacing="0" w:afterAutospacing="0" w:line="360" w:lineRule="auto"/>
        <w:jc w:val="both"/>
        <w:rPr>
          <w:rFonts w:asciiTheme="minorEastAsia" w:hAnsiTheme="minorEastAsia" w:cstheme="minorEastAsia"/>
        </w:rPr>
      </w:pPr>
    </w:p>
    <w:p>
      <w:pPr>
        <w:pStyle w:val="6"/>
        <w:widowControl/>
        <w:spacing w:beforeAutospacing="0" w:afterAutospacing="0" w:line="360" w:lineRule="auto"/>
        <w:jc w:val="both"/>
        <w:rPr>
          <w:rFonts w:asciiTheme="minorEastAsia" w:hAnsiTheme="minorEastAsia" w:cstheme="minorEastAsia"/>
        </w:rPr>
      </w:pPr>
      <w:r>
        <w:rPr>
          <w:rStyle w:val="9"/>
          <w:rFonts w:hint="eastAsia" w:asciiTheme="minorEastAsia" w:hAnsiTheme="minorEastAsia" w:cstheme="minorEastAsia"/>
        </w:rPr>
        <w:t>研究方向：</w:t>
      </w:r>
      <w:r>
        <w:rPr>
          <w:rFonts w:hint="eastAsia" w:asciiTheme="minorEastAsia" w:hAnsiTheme="minorEastAsia" w:cstheme="minorEastAsia"/>
        </w:rPr>
        <w:t>财务管理与管理会计、智能会计。</w:t>
      </w:r>
    </w:p>
    <w:p>
      <w:pPr>
        <w:widowControl/>
        <w:spacing w:line="360" w:lineRule="auto"/>
        <w:jc w:val="left"/>
        <w:rPr>
          <w:rFonts w:asciiTheme="minorEastAsia" w:hAnsiTheme="minorEastAsia" w:cstheme="minorEastAsia"/>
          <w:sz w:val="24"/>
        </w:rPr>
      </w:pPr>
      <w:r>
        <w:rPr>
          <w:rFonts w:hint="eastAsia" w:asciiTheme="minorEastAsia" w:hAnsiTheme="minorEastAsia" w:cstheme="minorEastAsia"/>
          <w:kern w:val="0"/>
          <w:sz w:val="24"/>
        </w:rPr>
        <w:t>  </w:t>
      </w:r>
    </w:p>
    <w:p>
      <w:pPr>
        <w:pStyle w:val="6"/>
        <w:widowControl/>
        <w:spacing w:beforeAutospacing="0" w:afterAutospacing="0" w:line="360" w:lineRule="auto"/>
        <w:rPr>
          <w:rFonts w:ascii="Times New Roman" w:hAnsi="Times New Roman"/>
        </w:rPr>
      </w:pPr>
      <w:r>
        <w:rPr>
          <w:rStyle w:val="9"/>
          <w:rFonts w:hint="eastAsia" w:asciiTheme="minorEastAsia" w:hAnsiTheme="minorEastAsia" w:cstheme="minorEastAsia"/>
        </w:rPr>
        <w:t>专业代码：</w:t>
      </w:r>
      <w:r>
        <w:rPr>
          <w:rFonts w:ascii="Times New Roman" w:hAnsi="Times New Roman"/>
        </w:rPr>
        <w:t xml:space="preserve">125300           </w:t>
      </w:r>
      <w:r>
        <w:rPr>
          <w:rFonts w:hint="eastAsia" w:ascii="Times New Roman" w:hAnsi="Times New Roman"/>
        </w:rPr>
        <w:t xml:space="preserve">                      </w:t>
      </w:r>
      <w:r>
        <w:rPr>
          <w:rFonts w:ascii="Times New Roman" w:hAnsi="Times New Roman"/>
        </w:rPr>
        <w:t xml:space="preserve">咨询电话： </w:t>
      </w:r>
      <w:r>
        <w:rPr>
          <w:rFonts w:hint="eastAsia" w:ascii="Times New Roman" w:hAnsi="Times New Roman"/>
        </w:rPr>
        <w:t>0757-87801801</w:t>
      </w:r>
    </w:p>
    <w:tbl>
      <w:tblPr>
        <w:tblStyle w:val="7"/>
        <w:tblW w:w="8504"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3066"/>
        <w:gridCol w:w="2547"/>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blCellSpacing w:w="0" w:type="dxa"/>
        </w:trPr>
        <w:tc>
          <w:tcPr>
            <w:tcW w:w="683"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Style w:val="9"/>
                <w:rFonts w:hint="eastAsia" w:asciiTheme="minorEastAsia" w:hAnsiTheme="minorEastAsia" w:cstheme="minorEastAsia"/>
              </w:rPr>
              <w:t>序号</w:t>
            </w:r>
          </w:p>
        </w:tc>
        <w:tc>
          <w:tcPr>
            <w:tcW w:w="3066"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Style w:val="9"/>
                <w:rFonts w:hint="eastAsia" w:asciiTheme="minorEastAsia" w:hAnsiTheme="minorEastAsia" w:cstheme="minorEastAsia"/>
              </w:rPr>
              <w:t>研究方向</w:t>
            </w:r>
          </w:p>
        </w:tc>
        <w:tc>
          <w:tcPr>
            <w:tcW w:w="2547"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Style w:val="9"/>
                <w:rFonts w:hint="eastAsia" w:asciiTheme="minorEastAsia" w:hAnsiTheme="minorEastAsia" w:cstheme="minorEastAsia"/>
              </w:rPr>
              <w:t>初试科目</w:t>
            </w:r>
          </w:p>
        </w:tc>
        <w:tc>
          <w:tcPr>
            <w:tcW w:w="2208"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Style w:val="9"/>
                <w:rFonts w:hint="eastAsia" w:asciiTheme="minorEastAsia" w:hAnsiTheme="minorEastAsia" w:cstheme="minorEastAsia"/>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blCellSpacing w:w="0" w:type="dxa"/>
        </w:trPr>
        <w:tc>
          <w:tcPr>
            <w:tcW w:w="683"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Fonts w:hint="eastAsia" w:asciiTheme="minorEastAsia" w:hAnsiTheme="minorEastAsia" w:cstheme="minorEastAsia"/>
              </w:rPr>
              <w:t>1</w:t>
            </w:r>
          </w:p>
        </w:tc>
        <w:tc>
          <w:tcPr>
            <w:tcW w:w="3066"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Fonts w:hint="eastAsia" w:asciiTheme="minorEastAsia" w:hAnsiTheme="minorEastAsia" w:cstheme="minorEastAsia"/>
              </w:rPr>
              <w:t>财务管理与管理会计</w:t>
            </w:r>
          </w:p>
        </w:tc>
        <w:tc>
          <w:tcPr>
            <w:tcW w:w="2547" w:type="dxa"/>
            <w:vMerge w:val="restart"/>
            <w:shd w:val="clear" w:color="auto" w:fill="auto"/>
            <w:vAlign w:val="center"/>
          </w:tcPr>
          <w:p>
            <w:pPr>
              <w:snapToGrid w:val="0"/>
              <w:spacing w:line="520" w:lineRule="exact"/>
              <w:rPr>
                <w:rFonts w:eastAsia="宋体"/>
                <w:sz w:val="24"/>
              </w:rPr>
            </w:pPr>
            <w:r>
              <w:rPr>
                <w:rFonts w:hint="eastAsia" w:eastAsia="宋体"/>
                <w:sz w:val="24"/>
              </w:rPr>
              <w:t>（</w:t>
            </w:r>
            <w:r>
              <w:rPr>
                <w:rFonts w:eastAsia="宋体"/>
                <w:sz w:val="24"/>
              </w:rPr>
              <w:t>1</w:t>
            </w:r>
            <w:r>
              <w:rPr>
                <w:rFonts w:hint="eastAsia" w:eastAsia="宋体"/>
                <w:sz w:val="24"/>
              </w:rPr>
              <w:t>）</w:t>
            </w:r>
            <w:r>
              <w:rPr>
                <w:rFonts w:eastAsia="宋体"/>
                <w:sz w:val="24"/>
              </w:rPr>
              <w:t>▲管理类综合能力</w:t>
            </w:r>
            <w:r>
              <w:rPr>
                <w:rFonts w:hint="eastAsia" w:eastAsia="宋体"/>
                <w:sz w:val="24"/>
              </w:rPr>
              <w:t>（</w:t>
            </w:r>
            <w:r>
              <w:rPr>
                <w:rFonts w:hint="eastAsia" w:asciiTheme="minorEastAsia" w:hAnsiTheme="minorEastAsia" w:cstheme="minorEastAsia"/>
                <w:kern w:val="0"/>
                <w:sz w:val="24"/>
              </w:rPr>
              <w:t>200</w:t>
            </w:r>
            <w:r>
              <w:rPr>
                <w:rFonts w:hint="eastAsia" w:eastAsia="宋体"/>
                <w:sz w:val="24"/>
              </w:rPr>
              <w:t>分）</w:t>
            </w:r>
          </w:p>
          <w:p>
            <w:pPr>
              <w:pStyle w:val="6"/>
              <w:widowControl/>
              <w:spacing w:beforeAutospacing="0" w:afterAutospacing="0" w:line="360" w:lineRule="auto"/>
              <w:jc w:val="both"/>
              <w:rPr>
                <w:rFonts w:asciiTheme="minorEastAsia" w:hAnsiTheme="minorEastAsia" w:cstheme="minorEastAsia"/>
              </w:rPr>
            </w:pPr>
            <w:r>
              <w:rPr>
                <w:rFonts w:hint="eastAsia" w:eastAsia="宋体"/>
              </w:rPr>
              <w:t>（</w:t>
            </w:r>
            <w:r>
              <w:rPr>
                <w:rFonts w:eastAsia="宋体"/>
              </w:rPr>
              <w:t>2</w:t>
            </w:r>
            <w:r>
              <w:rPr>
                <w:rFonts w:hint="eastAsia" w:eastAsia="宋体"/>
              </w:rPr>
              <w:t>）</w:t>
            </w:r>
            <w:r>
              <w:rPr>
                <w:rFonts w:eastAsia="宋体"/>
              </w:rPr>
              <w:t>▲英语二</w:t>
            </w:r>
            <w:r>
              <w:rPr>
                <w:rFonts w:hint="eastAsia" w:eastAsia="宋体"/>
              </w:rPr>
              <w:t>（</w:t>
            </w:r>
            <w:r>
              <w:rPr>
                <w:rFonts w:hint="eastAsia" w:asciiTheme="minorEastAsia" w:hAnsiTheme="minorEastAsia" w:cstheme="minorEastAsia"/>
              </w:rPr>
              <w:t>100</w:t>
            </w:r>
            <w:r>
              <w:rPr>
                <w:rFonts w:hint="eastAsia" w:eastAsia="宋体"/>
              </w:rPr>
              <w:t>分）</w:t>
            </w:r>
          </w:p>
        </w:tc>
        <w:tc>
          <w:tcPr>
            <w:tcW w:w="2208" w:type="dxa"/>
            <w:vMerge w:val="restart"/>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Fonts w:hint="eastAsia" w:asciiTheme="minorEastAsia" w:hAnsiTheme="minorEastAsia" w:cstheme="minorEastAsia"/>
              </w:rPr>
              <w:t>F536-会计综合知识（100分）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blCellSpacing w:w="0" w:type="dxa"/>
        </w:trPr>
        <w:tc>
          <w:tcPr>
            <w:tcW w:w="683"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Fonts w:hint="eastAsia" w:asciiTheme="minorEastAsia" w:hAnsiTheme="minorEastAsia" w:cstheme="minorEastAsia"/>
              </w:rPr>
              <w:t>2</w:t>
            </w:r>
          </w:p>
        </w:tc>
        <w:tc>
          <w:tcPr>
            <w:tcW w:w="3066" w:type="dxa"/>
            <w:shd w:val="clear" w:color="auto" w:fill="auto"/>
            <w:vAlign w:val="center"/>
          </w:tcPr>
          <w:p>
            <w:pPr>
              <w:pStyle w:val="6"/>
              <w:widowControl/>
              <w:spacing w:beforeAutospacing="0" w:afterAutospacing="0" w:line="360" w:lineRule="auto"/>
              <w:jc w:val="center"/>
              <w:rPr>
                <w:rFonts w:asciiTheme="minorEastAsia" w:hAnsiTheme="minorEastAsia" w:cstheme="minorEastAsia"/>
              </w:rPr>
            </w:pPr>
            <w:r>
              <w:rPr>
                <w:rFonts w:hint="eastAsia" w:asciiTheme="minorEastAsia" w:hAnsiTheme="minorEastAsia" w:cstheme="minorEastAsia"/>
              </w:rPr>
              <w:t>智能会计</w:t>
            </w:r>
          </w:p>
        </w:tc>
        <w:tc>
          <w:tcPr>
            <w:tcW w:w="2547" w:type="dxa"/>
            <w:vMerge w:val="continue"/>
            <w:shd w:val="clear" w:color="auto" w:fill="auto"/>
            <w:vAlign w:val="center"/>
          </w:tcPr>
          <w:p>
            <w:pPr>
              <w:spacing w:line="360" w:lineRule="auto"/>
              <w:rPr>
                <w:rFonts w:asciiTheme="minorEastAsia" w:hAnsiTheme="minorEastAsia" w:cstheme="minorEastAsia"/>
                <w:sz w:val="24"/>
              </w:rPr>
            </w:pPr>
          </w:p>
        </w:tc>
        <w:tc>
          <w:tcPr>
            <w:tcW w:w="2208" w:type="dxa"/>
            <w:vMerge w:val="continue"/>
            <w:shd w:val="clear" w:color="auto" w:fill="auto"/>
            <w:vAlign w:val="center"/>
          </w:tcPr>
          <w:p>
            <w:pPr>
              <w:spacing w:line="360" w:lineRule="auto"/>
              <w:rPr>
                <w:rFonts w:asciiTheme="minorEastAsia" w:hAnsiTheme="minorEastAsia" w:cstheme="minorEastAsia"/>
                <w:sz w:val="24"/>
              </w:rPr>
            </w:pPr>
          </w:p>
        </w:tc>
      </w:tr>
    </w:tbl>
    <w:p>
      <w:pPr>
        <w:pStyle w:val="6"/>
        <w:widowControl/>
        <w:spacing w:beforeAutospacing="0" w:afterAutospacing="0" w:line="360" w:lineRule="auto"/>
        <w:rPr>
          <w:rStyle w:val="9"/>
          <w:rFonts w:asciiTheme="minorEastAsia" w:hAnsiTheme="minorEastAsia" w:cstheme="minorEastAsia"/>
        </w:rPr>
      </w:pPr>
      <w:r>
        <w:rPr>
          <w:rStyle w:val="9"/>
          <w:rFonts w:hint="eastAsia" w:asciiTheme="minorEastAsia" w:hAnsiTheme="minorEastAsia" w:cstheme="minorEastAsia"/>
        </w:rPr>
        <w:t>▲表示统考科目或联考科目，考试题型、考试大纲以教育部公布为准。其他为自命题科目。</w:t>
      </w:r>
    </w:p>
    <w:p>
      <w:pPr>
        <w:pStyle w:val="6"/>
        <w:widowControl/>
        <w:spacing w:beforeAutospacing="0" w:afterAutospacing="0" w:line="360" w:lineRule="auto"/>
        <w:rPr>
          <w:rStyle w:val="9"/>
          <w:rFonts w:asciiTheme="minorEastAsia" w:hAnsiTheme="minorEastAsia" w:cstheme="minorEastAsia"/>
        </w:rPr>
      </w:pP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考试题型及相应分值：</w:t>
      </w:r>
    </w:p>
    <w:p>
      <w:pPr>
        <w:pStyle w:val="6"/>
        <w:widowControl/>
        <w:spacing w:beforeAutospacing="0" w:afterAutospacing="0" w:line="360" w:lineRule="auto"/>
        <w:rPr>
          <w:rStyle w:val="9"/>
          <w:rFonts w:asciiTheme="minorEastAsia" w:hAnsiTheme="minorEastAsia" w:cstheme="minorEastAsia"/>
        </w:rPr>
      </w:pPr>
      <w:r>
        <w:rPr>
          <w:rStyle w:val="9"/>
          <w:rFonts w:hint="eastAsia" w:asciiTheme="minorEastAsia" w:hAnsiTheme="minorEastAsia" w:cstheme="minorEastAsia"/>
        </w:rPr>
        <w:t>1.《会计综合知识》</w:t>
      </w:r>
    </w:p>
    <w:p>
      <w:pPr>
        <w:pStyle w:val="6"/>
        <w:widowControl/>
        <w:spacing w:beforeAutospacing="0" w:afterAutospacing="0" w:line="360" w:lineRule="auto"/>
        <w:rPr>
          <w:rStyle w:val="9"/>
          <w:rFonts w:asciiTheme="minorEastAsia" w:hAnsiTheme="minorEastAsia" w:cstheme="minorEastAsia"/>
        </w:rPr>
      </w:pPr>
      <w:r>
        <w:rPr>
          <w:rFonts w:hint="eastAsia" w:asciiTheme="minorEastAsia" w:hAnsiTheme="minorEastAsia" w:cstheme="minorEastAsia"/>
        </w:rPr>
        <w:t>《会计综合知识》100分（含财务会计、管理会计、财务管理、审计）。其中：财务会计约占40%，管理会计约占20%，财务管理约占20%，审计约占20%。</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（1）名词解释（5题，每题3分，共15分）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（2）简答题（3题，每题5分，共15分）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（3）实务题（4题，每题10分，共40分）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（4）论述题（2题，每题15分，共30分）</w:t>
      </w:r>
    </w:p>
    <w:p>
      <w:pPr>
        <w:pStyle w:val="6"/>
        <w:widowControl/>
        <w:spacing w:beforeAutospacing="0" w:afterAutospacing="0" w:line="360" w:lineRule="auto"/>
        <w:rPr>
          <w:rFonts w:asciiTheme="minorEastAsia" w:hAnsiTheme="minorEastAsia" w:cstheme="minorEastAsia"/>
        </w:rPr>
      </w:pPr>
    </w:p>
    <w:p>
      <w:pPr>
        <w:pStyle w:val="6"/>
        <w:widowControl/>
        <w:spacing w:beforeAutospacing="0" w:afterAutospacing="0" w:line="360" w:lineRule="auto"/>
        <w:rPr>
          <w:rFonts w:asciiTheme="minorEastAsia" w:hAnsiTheme="minorEastAsia" w:cstheme="minorEastAsia"/>
          <w:b/>
          <w:bCs/>
        </w:rPr>
      </w:pPr>
      <w:r>
        <w:rPr>
          <w:rFonts w:hint="eastAsia" w:asciiTheme="minorEastAsia" w:hAnsiTheme="minorEastAsia" w:cstheme="minorEastAsia"/>
          <w:b/>
          <w:bCs/>
        </w:rPr>
        <w:t>参考书目:</w:t>
      </w:r>
    </w:p>
    <w:p>
      <w:pPr>
        <w:pStyle w:val="6"/>
        <w:widowControl/>
        <w:spacing w:beforeAutospacing="0" w:afterAutospacing="0" w:line="360" w:lineRule="auto"/>
        <w:rPr>
          <w:rFonts w:asciiTheme="minorEastAsia" w:hAnsiTheme="minorEastAsia" w:cstheme="minorEastAsia"/>
        </w:rPr>
      </w:pPr>
      <w:r>
        <w:rPr>
          <w:rFonts w:asciiTheme="minorEastAsia" w:hAnsiTheme="minorEastAsia" w:cstheme="minorEastAsia"/>
        </w:rPr>
        <w:t>刘永泽、陈立军主编：《中级财务会计》第</w:t>
      </w:r>
      <w:r>
        <w:rPr>
          <w:rFonts w:hint="eastAsia" w:asciiTheme="minorEastAsia" w:hAnsiTheme="minorEastAsia" w:cstheme="minorEastAsia"/>
        </w:rPr>
        <w:t>7</w:t>
      </w:r>
      <w:r>
        <w:rPr>
          <w:rFonts w:asciiTheme="minorEastAsia" w:hAnsiTheme="minorEastAsia" w:cstheme="minorEastAsia"/>
        </w:rPr>
        <w:t>版，东北财经大学出版社，20</w:t>
      </w:r>
      <w:r>
        <w:rPr>
          <w:rFonts w:hint="eastAsia" w:asciiTheme="minorEastAsia" w:hAnsiTheme="minorEastAsia" w:cstheme="minorEastAsia"/>
        </w:rPr>
        <w:t>21</w:t>
      </w:r>
      <w:r>
        <w:rPr>
          <w:rFonts w:asciiTheme="minorEastAsia" w:hAnsiTheme="minorEastAsia" w:cstheme="minorEastAsia"/>
        </w:rPr>
        <w:t>年。</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中国注册会计师协会主</w:t>
      </w:r>
      <w:r>
        <w:rPr>
          <w:rFonts w:asciiTheme="minorEastAsia" w:hAnsiTheme="minorEastAsia" w:cstheme="minorEastAsia"/>
        </w:rPr>
        <w:t>编：《财务</w:t>
      </w:r>
      <w:r>
        <w:rPr>
          <w:rFonts w:hint="eastAsia" w:asciiTheme="minorEastAsia" w:hAnsiTheme="minorEastAsia" w:cstheme="minorEastAsia"/>
        </w:rPr>
        <w:t>成本</w:t>
      </w:r>
      <w:r>
        <w:rPr>
          <w:rFonts w:asciiTheme="minorEastAsia" w:hAnsiTheme="minorEastAsia" w:cstheme="minorEastAsia"/>
        </w:rPr>
        <w:t>管理》，</w:t>
      </w:r>
      <w:r>
        <w:rPr>
          <w:rFonts w:hint="eastAsia" w:asciiTheme="minorEastAsia" w:hAnsiTheme="minorEastAsia" w:cstheme="minorEastAsia"/>
        </w:rPr>
        <w:t>中国财政经济</w:t>
      </w:r>
      <w:r>
        <w:rPr>
          <w:rFonts w:asciiTheme="minorEastAsia" w:hAnsiTheme="minorEastAsia" w:cstheme="minorEastAsia"/>
        </w:rPr>
        <w:t>出版社，20</w:t>
      </w:r>
      <w:r>
        <w:rPr>
          <w:rFonts w:hint="eastAsia" w:asciiTheme="minorEastAsia" w:hAnsiTheme="minorEastAsia" w:cstheme="minorEastAsia"/>
        </w:rPr>
        <w:t>22</w:t>
      </w:r>
      <w:r>
        <w:rPr>
          <w:rFonts w:asciiTheme="minorEastAsia" w:hAnsiTheme="minorEastAsia" w:cstheme="minorEastAsia"/>
        </w:rPr>
        <w:t>年。</w:t>
      </w:r>
    </w:p>
    <w:p>
      <w:pPr>
        <w:pStyle w:val="6"/>
        <w:widowControl/>
        <w:spacing w:beforeAutospacing="0" w:afterAutospacing="0" w:line="360" w:lineRule="auto"/>
        <w:rPr>
          <w:rFonts w:asciiTheme="minorEastAsia" w:hAnsiTheme="minorEastAsia" w:cstheme="minorEastAsia"/>
        </w:rPr>
      </w:pPr>
      <w:r>
        <w:rPr>
          <w:rFonts w:asciiTheme="minorEastAsia" w:hAnsiTheme="minorEastAsia" w:cstheme="minorEastAsia"/>
        </w:rPr>
        <w:t>刘明辉 史德刚主编：《审计》第7版，东北财经大学出版社，2019年</w:t>
      </w:r>
      <w:r>
        <w:rPr>
          <w:rFonts w:hint="eastAsia" w:asciiTheme="minorEastAsia" w:hAnsiTheme="minorEastAsia" w:cstheme="minorEastAsia"/>
        </w:rPr>
        <w:t>。</w:t>
      </w:r>
    </w:p>
    <w:p>
      <w:pPr>
        <w:pStyle w:val="6"/>
        <w:widowControl/>
        <w:spacing w:beforeAutospacing="0" w:afterAutospacing="0" w:line="360" w:lineRule="auto"/>
        <w:rPr>
          <w:rFonts w:asciiTheme="minorEastAsia" w:hAnsiTheme="minorEastAsia" w:cstheme="minorEastAsia"/>
        </w:rPr>
      </w:pP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同等学历加试科目：</w:t>
      </w:r>
      <w:r>
        <w:rPr>
          <w:rFonts w:asciiTheme="minorEastAsia" w:hAnsiTheme="minorEastAsia" w:cstheme="minorEastAsia"/>
        </w:rPr>
        <w:t>1.中级财务会计学（100分）  2. 财务</w:t>
      </w:r>
      <w:r>
        <w:rPr>
          <w:rFonts w:hint="eastAsia" w:asciiTheme="minorEastAsia" w:hAnsiTheme="minorEastAsia" w:cstheme="minorEastAsia"/>
        </w:rPr>
        <w:t>成本</w:t>
      </w:r>
      <w:r>
        <w:rPr>
          <w:rFonts w:asciiTheme="minorEastAsia" w:hAnsiTheme="minorEastAsia" w:cstheme="minorEastAsia"/>
        </w:rPr>
        <w:t>管理（100分）</w:t>
      </w:r>
    </w:p>
    <w:p>
      <w:pPr>
        <w:pStyle w:val="6"/>
        <w:widowControl/>
        <w:spacing w:beforeAutospacing="0" w:afterAutospacing="0" w:line="360" w:lineRule="auto"/>
        <w:rPr>
          <w:rFonts w:asciiTheme="minorEastAsia" w:hAnsiTheme="minorEastAsia" w:cstheme="minorEastAsia"/>
        </w:rPr>
      </w:pPr>
    </w:p>
    <w:p>
      <w:pPr>
        <w:pStyle w:val="6"/>
        <w:widowControl/>
        <w:spacing w:beforeAutospacing="0" w:afterAutospacing="0" w:line="360" w:lineRule="auto"/>
        <w:rPr>
          <w:rStyle w:val="9"/>
          <w:rFonts w:asciiTheme="minorEastAsia" w:hAnsiTheme="minorEastAsia" w:cstheme="minorEastAsia"/>
        </w:rPr>
      </w:pPr>
      <w:r>
        <w:rPr>
          <w:rStyle w:val="9"/>
          <w:rFonts w:hint="eastAsia" w:asciiTheme="minorEastAsia" w:hAnsiTheme="minorEastAsia" w:cstheme="minorEastAsia"/>
          <w:sz w:val="21"/>
          <w:szCs w:val="22"/>
        </w:rPr>
        <w:t>2.</w:t>
      </w:r>
      <w:r>
        <w:rPr>
          <w:rStyle w:val="9"/>
          <w:rFonts w:hint="eastAsia" w:asciiTheme="minorEastAsia" w:hAnsiTheme="minorEastAsia" w:cstheme="minorEastAsia"/>
        </w:rPr>
        <w:t>《政治》</w:t>
      </w:r>
    </w:p>
    <w:p>
      <w:pPr>
        <w:pStyle w:val="6"/>
        <w:widowControl/>
        <w:spacing w:beforeAutospacing="0" w:afterAutospacing="0" w:line="360" w:lineRule="auto"/>
        <w:rPr>
          <w:rStyle w:val="9"/>
          <w:rFonts w:asciiTheme="minorEastAsia" w:hAnsiTheme="minorEastAsia" w:cstheme="minorEastAsia"/>
        </w:rPr>
      </w:pPr>
      <w:r>
        <w:rPr>
          <w:rFonts w:hint="eastAsia" w:asciiTheme="minorEastAsia" w:hAnsiTheme="minorEastAsia" w:cstheme="minorEastAsia"/>
        </w:rPr>
        <w:t>《政治》100分。</w:t>
      </w:r>
    </w:p>
    <w:p>
      <w:pPr>
        <w:pStyle w:val="6"/>
        <w:widowControl/>
        <w:spacing w:beforeAutospacing="0" w:afterAutospacing="0" w:line="360" w:lineRule="auto"/>
        <w:rPr>
          <w:rStyle w:val="9"/>
          <w:rFonts w:asciiTheme="minorEastAsia" w:hAnsiTheme="minorEastAsia" w:cstheme="minorEastAsia"/>
        </w:rPr>
      </w:pP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考试大纲</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1.《会计综合知识》</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《会计综合知识》考试大纲概述：</w:t>
      </w:r>
    </w:p>
    <w:p>
      <w:pPr>
        <w:pStyle w:val="6"/>
        <w:widowControl/>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本科目考试内容包括财务会计、管理会计、财务管理、审计四大部分。参考会计教指委制定的全国会计硕士专业学位研究生入学考试复试阶段专业课指导性大纲（2016），考试内容包括以下知识点：</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第一部分   财务会计</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第一章  总论</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财务会计报告的目标</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会计基本假设与会计基础</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会计信息质量要求</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会计要素及其确认与计量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财务会计报告的组成</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第二章  金融资产</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金融资产及其分类</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交易性金融资产</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债权投资</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应收款项</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其他金融工具投资</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第六节  金融资产的重分类</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第七节  金融资产减值</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第三章  存货</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存货的确认和初始计量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发出存货成本的计量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期末存货的计量</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第四章  长期股权投资</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长期股权投资的确认和初始计量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长期股权投资的后续计量</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第五章  固定资产</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固定资产的确认和初始计量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固定资产的后续计量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固定资产的处置</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第六章  无形资产</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无形资产的确认和初始计量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内部研究与开发支出的确认和计量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无形资产的后续计量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无形资产的处置</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第七章  负债</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流动负债</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非流动负债</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第八章  所有者权益</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实收资本（股本）</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资本公积</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其他综合收益</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留存收益</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第九章  收入、费用和利润</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收入</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费用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直接计入当期利润的利得</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直接计入当期利润的损失</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利润</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第十章  财务报告</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财务报告概述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资产负债表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利润表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现金流量表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所有者权益变动表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第六节  附注</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第十一章  或有事项</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或有事项概述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或有事项的确认和计量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或有事项的列报</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第十二章  资产负债表日后事项</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资产负债表日后事项概述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调整事项的会计处理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非调整事项的会计处理</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第十三章  会计政策、会计估计变更和差错更正</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会计政策及其变更</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会计估计及其变更</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前期差错及其更正</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 </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第二部分 管理会计</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第一章  总论</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管理会计与财务会计的区别与联系</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成本的概念和分类</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第二章  产品成本核算方法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产品成本计算概述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成本的归集与分配</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产品成本计算的品种法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产品成本计算的分批法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产品成本计算的分步法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第六节  作业成本法</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第三章  成本分析与成本管理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成本性态分析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变动成本法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成本管理方法</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第四章  经营决策分析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经营决策分析的基本方法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本量利分析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经营决策中的成本概念运用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经营决策中的生产组织与外包</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经营决策中的产能利用与存货</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第五章  全面预算管理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全面预算概述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全面预算的类型与编制方法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营业预算的编制</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财务预算的编制</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预算实施与管理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第六节  预算结果的考评与反馈</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第六章  责任会计</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责任会计概述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责任中心的类型与基本原则</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责任会计的职能</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责任会计体系与部门绩效考核</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 </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第三部分  财务管理</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第一章  总论</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财务管理的概念</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财务管理的目标</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财务管理的环境</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第二章  财务估值的基础</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货币时间价值</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风险和收益</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证券估值</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第三章  财务分析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偿债能力分析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营运能力分析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获利能力分析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发展能力分析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综合财务分析</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第四章  长期筹资决策</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资本成本</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资本结构</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普通股筹资</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长期负债筹资</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第五章  投资决策</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投资的概念</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投资的现金流量分析</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投资决策评价指标及其计算</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第六章  营运资金管理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短期资产管理</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短期筹资管理</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第七章  股利分配</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利润分配概述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股利支付的程序和方式</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股利理论与股利分配政策</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 </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第四部分  审 计</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第一章  总论</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审计的定义和特征</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审计的职能和作用</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审计的分类</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审计准则、职业道德和法律责任</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第二章  财务报表审计的核心概念</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审计目标</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重要性</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审计风险</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审计证据</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审计程序</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第三章  财务报表审计的思路和步骤</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风险导向审计的基本思路</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风险评估</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控制测试</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实质性程序</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第四章  主要业务循环的审计</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销售与收款循环的审计</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采购与付款循环的审计</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生产与职工薪酬循环的审计</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第四节  筹资与投资循环的审计</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第五节  货币资金与特殊项目的审计</w:t>
      </w:r>
    </w:p>
    <w:p>
      <w:pPr>
        <w:pStyle w:val="6"/>
        <w:widowControl/>
        <w:spacing w:beforeAutospacing="0" w:afterAutospacing="0" w:line="360" w:lineRule="auto"/>
        <w:rPr>
          <w:rFonts w:asciiTheme="minorEastAsia" w:hAnsiTheme="minorEastAsia" w:cstheme="minorEastAsia"/>
        </w:rPr>
      </w:pPr>
      <w:r>
        <w:rPr>
          <w:rStyle w:val="9"/>
          <w:rFonts w:hint="eastAsia" w:asciiTheme="minorEastAsia" w:hAnsiTheme="minorEastAsia" w:cstheme="minorEastAsia"/>
        </w:rPr>
        <w:t>第五章  审计报告</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第一节  审计意见的形成和类型</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第二节  标准审计报告的结构和内容</w:t>
      </w:r>
    </w:p>
    <w:p>
      <w:pPr>
        <w:pStyle w:val="6"/>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rPr>
        <w:t>第三节  非标准审计报告的结构和内容</w:t>
      </w:r>
    </w:p>
    <w:p>
      <w:pPr>
        <w:pStyle w:val="6"/>
        <w:widowControl/>
        <w:spacing w:beforeAutospacing="0" w:afterAutospacing="0" w:line="360" w:lineRule="auto"/>
        <w:rPr>
          <w:rFonts w:asciiTheme="minorEastAsia" w:hAnsiTheme="minorEastAsia" w:cstheme="minorEastAsia"/>
        </w:rPr>
      </w:pPr>
    </w:p>
    <w:p>
      <w:pPr>
        <w:pStyle w:val="6"/>
        <w:widowControl/>
        <w:spacing w:beforeAutospacing="0" w:afterAutospacing="0" w:line="360" w:lineRule="auto"/>
        <w:rPr>
          <w:rStyle w:val="9"/>
          <w:rFonts w:asciiTheme="minorEastAsia" w:hAnsiTheme="minorEastAsia" w:cstheme="minorEastAsia"/>
        </w:rPr>
      </w:pPr>
      <w:r>
        <w:rPr>
          <w:rStyle w:val="9"/>
          <w:rFonts w:hint="eastAsia" w:asciiTheme="minorEastAsia" w:hAnsiTheme="minorEastAsia" w:cstheme="minorEastAsia"/>
          <w:sz w:val="21"/>
          <w:szCs w:val="22"/>
        </w:rPr>
        <w:t>2.</w:t>
      </w:r>
      <w:r>
        <w:rPr>
          <w:rStyle w:val="9"/>
          <w:rFonts w:hint="eastAsia" w:asciiTheme="minorEastAsia" w:hAnsiTheme="minorEastAsia" w:cstheme="minorEastAsia"/>
        </w:rPr>
        <w:t>《</w:t>
      </w:r>
      <w:bookmarkStart w:id="0" w:name="_GoBack"/>
      <w:bookmarkEnd w:id="0"/>
      <w:r>
        <w:rPr>
          <w:rStyle w:val="9"/>
          <w:rFonts w:hint="eastAsia" w:asciiTheme="minorEastAsia" w:hAnsiTheme="minorEastAsia" w:cstheme="minorEastAsia"/>
        </w:rPr>
        <w:t>政治》</w:t>
      </w:r>
    </w:p>
    <w:p>
      <w:pPr>
        <w:pStyle w:val="6"/>
        <w:widowControl/>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从复试试题中抽取题目，限时回答（2-3分钟），考察考生政治观点和政治敏感性。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OGVjZDgwMjI3NzdiYzY2OWI0OWMxMGRkZmExNjUifQ=="/>
  </w:docVars>
  <w:rsids>
    <w:rsidRoot w:val="36967C3C"/>
    <w:rsid w:val="000A7F77"/>
    <w:rsid w:val="001456F3"/>
    <w:rsid w:val="001D44F7"/>
    <w:rsid w:val="00294EE1"/>
    <w:rsid w:val="00392251"/>
    <w:rsid w:val="00421F27"/>
    <w:rsid w:val="00445490"/>
    <w:rsid w:val="00485DA5"/>
    <w:rsid w:val="0049496E"/>
    <w:rsid w:val="004E2053"/>
    <w:rsid w:val="004E2617"/>
    <w:rsid w:val="005D569B"/>
    <w:rsid w:val="005E0D56"/>
    <w:rsid w:val="00660FFF"/>
    <w:rsid w:val="00696111"/>
    <w:rsid w:val="007C3E49"/>
    <w:rsid w:val="0085066D"/>
    <w:rsid w:val="00883862"/>
    <w:rsid w:val="008B130B"/>
    <w:rsid w:val="00A31D69"/>
    <w:rsid w:val="00A476F9"/>
    <w:rsid w:val="00B45E3C"/>
    <w:rsid w:val="00BF1AD8"/>
    <w:rsid w:val="00C446FD"/>
    <w:rsid w:val="00C61F7F"/>
    <w:rsid w:val="00C72B1C"/>
    <w:rsid w:val="00C73AAA"/>
    <w:rsid w:val="00E53141"/>
    <w:rsid w:val="00E776C6"/>
    <w:rsid w:val="00E77CFD"/>
    <w:rsid w:val="00EB6C4E"/>
    <w:rsid w:val="00F162D5"/>
    <w:rsid w:val="00FF1F68"/>
    <w:rsid w:val="00FF795A"/>
    <w:rsid w:val="01347A59"/>
    <w:rsid w:val="01745073"/>
    <w:rsid w:val="02596A3E"/>
    <w:rsid w:val="030B2A3C"/>
    <w:rsid w:val="04781435"/>
    <w:rsid w:val="04BB1099"/>
    <w:rsid w:val="0596701A"/>
    <w:rsid w:val="06FE3EFD"/>
    <w:rsid w:val="07DC1BD4"/>
    <w:rsid w:val="088960AF"/>
    <w:rsid w:val="091044D0"/>
    <w:rsid w:val="098826F0"/>
    <w:rsid w:val="09BE4364"/>
    <w:rsid w:val="0A51342A"/>
    <w:rsid w:val="0BB42E55"/>
    <w:rsid w:val="0BB65C00"/>
    <w:rsid w:val="0D2E0391"/>
    <w:rsid w:val="0EF86B3F"/>
    <w:rsid w:val="10141182"/>
    <w:rsid w:val="119A56B6"/>
    <w:rsid w:val="11C31370"/>
    <w:rsid w:val="12327621"/>
    <w:rsid w:val="132D1291"/>
    <w:rsid w:val="16921052"/>
    <w:rsid w:val="18A137CE"/>
    <w:rsid w:val="18CA5D34"/>
    <w:rsid w:val="19806925"/>
    <w:rsid w:val="19D4346D"/>
    <w:rsid w:val="19D61BE6"/>
    <w:rsid w:val="1AFB7C4D"/>
    <w:rsid w:val="1B272C6E"/>
    <w:rsid w:val="1B835E25"/>
    <w:rsid w:val="1C913B5A"/>
    <w:rsid w:val="1DEB15CA"/>
    <w:rsid w:val="1E693921"/>
    <w:rsid w:val="1EA54F70"/>
    <w:rsid w:val="21D544E9"/>
    <w:rsid w:val="22031056"/>
    <w:rsid w:val="23F860B9"/>
    <w:rsid w:val="24C16171"/>
    <w:rsid w:val="26A616A0"/>
    <w:rsid w:val="27D34FEF"/>
    <w:rsid w:val="28FE2577"/>
    <w:rsid w:val="29226266"/>
    <w:rsid w:val="2A5A7AE4"/>
    <w:rsid w:val="2ABF7AE4"/>
    <w:rsid w:val="2C8B2374"/>
    <w:rsid w:val="2CED0939"/>
    <w:rsid w:val="2D0363AE"/>
    <w:rsid w:val="2D572256"/>
    <w:rsid w:val="2D6536A3"/>
    <w:rsid w:val="306C1458"/>
    <w:rsid w:val="308A7F45"/>
    <w:rsid w:val="30CE2E79"/>
    <w:rsid w:val="322A618B"/>
    <w:rsid w:val="33EA09F4"/>
    <w:rsid w:val="358060FF"/>
    <w:rsid w:val="35A97E83"/>
    <w:rsid w:val="36967C3C"/>
    <w:rsid w:val="3A9B0DC9"/>
    <w:rsid w:val="3AB56523"/>
    <w:rsid w:val="3BC05906"/>
    <w:rsid w:val="3DEE38EF"/>
    <w:rsid w:val="3DFE5E11"/>
    <w:rsid w:val="3EB41CBA"/>
    <w:rsid w:val="3F0E62DC"/>
    <w:rsid w:val="3F9A7601"/>
    <w:rsid w:val="40B03CFF"/>
    <w:rsid w:val="418C651A"/>
    <w:rsid w:val="46933C96"/>
    <w:rsid w:val="47AC496B"/>
    <w:rsid w:val="48E85443"/>
    <w:rsid w:val="49C64AD2"/>
    <w:rsid w:val="4A275032"/>
    <w:rsid w:val="4AF21C07"/>
    <w:rsid w:val="4B650BAB"/>
    <w:rsid w:val="4BF23726"/>
    <w:rsid w:val="4C80311F"/>
    <w:rsid w:val="4C9238FC"/>
    <w:rsid w:val="4EE23C1E"/>
    <w:rsid w:val="50D96B37"/>
    <w:rsid w:val="51642103"/>
    <w:rsid w:val="51A46F68"/>
    <w:rsid w:val="51D57F4D"/>
    <w:rsid w:val="5204746F"/>
    <w:rsid w:val="52835CBD"/>
    <w:rsid w:val="532E3583"/>
    <w:rsid w:val="53414461"/>
    <w:rsid w:val="53D55AFF"/>
    <w:rsid w:val="54BF230B"/>
    <w:rsid w:val="56AF17FC"/>
    <w:rsid w:val="56D71B8E"/>
    <w:rsid w:val="58A2252B"/>
    <w:rsid w:val="5A2A6479"/>
    <w:rsid w:val="5A520E1E"/>
    <w:rsid w:val="5B9E0ECC"/>
    <w:rsid w:val="5D50212E"/>
    <w:rsid w:val="5E976116"/>
    <w:rsid w:val="60B87BB6"/>
    <w:rsid w:val="618F19E3"/>
    <w:rsid w:val="61A1312D"/>
    <w:rsid w:val="622A5268"/>
    <w:rsid w:val="62D13C07"/>
    <w:rsid w:val="62E305E5"/>
    <w:rsid w:val="62EF200D"/>
    <w:rsid w:val="632B74E9"/>
    <w:rsid w:val="65815AE7"/>
    <w:rsid w:val="6945539C"/>
    <w:rsid w:val="6AD66343"/>
    <w:rsid w:val="6B5873A3"/>
    <w:rsid w:val="6D535020"/>
    <w:rsid w:val="6E976B73"/>
    <w:rsid w:val="71B2527A"/>
    <w:rsid w:val="73634A7D"/>
    <w:rsid w:val="740D2C3B"/>
    <w:rsid w:val="744C1354"/>
    <w:rsid w:val="74C23A26"/>
    <w:rsid w:val="74D0274C"/>
    <w:rsid w:val="756D1BE3"/>
    <w:rsid w:val="767D5EFA"/>
    <w:rsid w:val="7948285E"/>
    <w:rsid w:val="79F503C1"/>
    <w:rsid w:val="7A4177F3"/>
    <w:rsid w:val="7D7443DA"/>
    <w:rsid w:val="7DD16A88"/>
    <w:rsid w:val="7E8C288D"/>
    <w:rsid w:val="7EBD63FF"/>
    <w:rsid w:val="7F032C71"/>
    <w:rsid w:val="7F736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star1979\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9</Pages>
  <Words>697</Words>
  <Characters>3978</Characters>
  <Lines>33</Lines>
  <Paragraphs>9</Paragraphs>
  <TotalTime>5</TotalTime>
  <ScaleCrop>false</ScaleCrop>
  <LinksUpToDate>false</LinksUpToDate>
  <CharactersWithSpaces>4666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2018-05-11T09:50:00Z</dcterms:created>
  <dc:creator>cjlstar</dc:creator>
  <cp:lastModifiedBy>~ing</cp:lastModifiedBy>
  <dcterms:modified xsi:type="dcterms:W3CDTF">2023-09-18T02:31:24Z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8219DFF74CE44FC3A9317529F3A63B32_13</vt:lpwstr>
  </property>
</Properties>
</file>