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2" w:name="_GoBack"/>
      <w:bookmarkEnd w:id="2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</w:p>
    <w:p>
      <w:pPr>
        <w:spacing w:after="0" w:line="24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bCs/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综合交通运输规划理论基础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试卷满分及考试时间：试卷满分为150分，考试时间为180分钟。</w:t>
      </w:r>
    </w:p>
    <w:p>
      <w:pPr>
        <w:pStyle w:val="11"/>
        <w:spacing w:line="240" w:lineRule="auto"/>
        <w:rPr>
          <w:rFonts w:hint="eastAsia" w:ascii="宋体" w:hAnsi="宋体" w:eastAsia="宋体"/>
          <w:szCs w:val="28"/>
        </w:rPr>
      </w:pPr>
    </w:p>
    <w:p>
      <w:pPr>
        <w:pStyle w:val="11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一、</w:t>
      </w:r>
      <w:r>
        <w:rPr>
          <w:rFonts w:hint="eastAsia" w:ascii="宋体" w:hAnsi="宋体" w:eastAsia="宋体"/>
          <w:szCs w:val="28"/>
          <w:lang w:eastAsia="zh-CN"/>
        </w:rPr>
        <w:t>综合交通运输系统及地理特性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numPr>
          <w:ilvl w:val="0"/>
          <w:numId w:val="1"/>
        </w:numPr>
        <w:spacing w:after="0" w:line="240" w:lineRule="auto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地理视角下交通运输的目的、重要性和运输行为</w:t>
      </w:r>
    </w:p>
    <w:p>
      <w:pPr>
        <w:numPr>
          <w:ilvl w:val="0"/>
          <w:numId w:val="1"/>
        </w:numPr>
        <w:spacing w:after="0" w:line="240" w:lineRule="auto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运输与空间结构、时空关系</w:t>
      </w:r>
    </w:p>
    <w:p>
      <w:pPr>
        <w:numPr>
          <w:ilvl w:val="0"/>
          <w:numId w:val="1"/>
        </w:numPr>
        <w:spacing w:after="0" w:line="240" w:lineRule="auto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国际贸易、商业地理和交通运输</w:t>
      </w:r>
    </w:p>
    <w:p>
      <w:pPr>
        <w:numPr>
          <w:ilvl w:val="0"/>
          <w:numId w:val="1"/>
        </w:numPr>
        <w:spacing w:after="0" w:line="240" w:lineRule="auto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运输网络及空间特性。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numPr>
          <w:ilvl w:val="0"/>
          <w:numId w:val="2"/>
        </w:numPr>
        <w:spacing w:after="0" w:line="240" w:lineRule="auto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理解运输作为一种派生需求的特性</w:t>
      </w:r>
    </w:p>
    <w:p>
      <w:pPr>
        <w:numPr>
          <w:ilvl w:val="0"/>
          <w:numId w:val="2"/>
        </w:numPr>
        <w:spacing w:after="0" w:line="240" w:lineRule="auto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明确欧氏距离、运输距离和物流距离的区别</w:t>
      </w:r>
    </w:p>
    <w:p>
      <w:pPr>
        <w:numPr>
          <w:ilvl w:val="0"/>
          <w:numId w:val="2"/>
        </w:numPr>
        <w:spacing w:after="0" w:line="240" w:lineRule="auto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掌握可运输性概念、运输流概念及要素</w:t>
      </w:r>
    </w:p>
    <w:p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了解国际贸易、商业地理及新兴的航道</w:t>
      </w:r>
    </w:p>
    <w:p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掌握运输网络的构成与拓扑结构</w:t>
      </w:r>
    </w:p>
    <w:p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了解海上战略通道</w:t>
      </w:r>
    </w:p>
    <w:p>
      <w:pPr>
        <w:spacing w:line="240" w:lineRule="auto"/>
        <w:ind w:left="0"/>
        <w:rPr>
          <w:rFonts w:hint="eastAsia"/>
          <w:sz w:val="28"/>
          <w:szCs w:val="28"/>
        </w:rPr>
      </w:pPr>
    </w:p>
    <w:p>
      <w:pPr>
        <w:pStyle w:val="11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二、</w:t>
      </w:r>
      <w:r>
        <w:rPr>
          <w:rFonts w:hint="eastAsia" w:ascii="宋体" w:hAnsi="宋体" w:eastAsia="宋体"/>
          <w:szCs w:val="28"/>
          <w:lang w:eastAsia="zh-CN"/>
        </w:rPr>
        <w:t>交通运输和空间结构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numPr>
          <w:ilvl w:val="0"/>
          <w:numId w:val="3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全球交通运输系统的发展历程及未来趋势</w:t>
      </w:r>
    </w:p>
    <w:p>
      <w:pPr>
        <w:numPr>
          <w:ilvl w:val="0"/>
          <w:numId w:val="3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交通运输的空间组织特点、空间结构</w:t>
      </w:r>
    </w:p>
    <w:p>
      <w:pPr>
        <w:numPr>
          <w:ilvl w:val="0"/>
          <w:numId w:val="3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交通区位的重要性、区位因素等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240" w:lineRule="auto"/>
        <w:ind w:left="424" w:leftChars="202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1.理解交通运输系统的空间组织</w:t>
      </w:r>
    </w:p>
    <w:p>
      <w:pPr>
        <w:spacing w:after="0" w:line="240" w:lineRule="auto"/>
        <w:ind w:left="424" w:leftChars="202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2.了解交通运输的历史沿革及重要发展浪潮</w:t>
      </w:r>
    </w:p>
    <w:p>
      <w:pPr>
        <w:spacing w:after="0" w:line="240" w:lineRule="auto"/>
        <w:ind w:left="424" w:leftChars="202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掌握交通区位及可达性的概念</w:t>
      </w:r>
    </w:p>
    <w:p>
      <w:pPr>
        <w:spacing w:after="0" w:line="240" w:lineRule="auto"/>
        <w:ind w:left="424" w:leftChars="202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4.了解未来交通技术发展趋势</w:t>
      </w:r>
    </w:p>
    <w:p>
      <w:pPr>
        <w:spacing w:after="0" w:line="240" w:lineRule="auto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三、</w:t>
      </w:r>
      <w:r>
        <w:rPr>
          <w:rFonts w:hint="eastAsia" w:ascii="宋体" w:hAnsi="宋体" w:eastAsia="宋体"/>
          <w:szCs w:val="28"/>
          <w:lang w:eastAsia="zh-CN"/>
        </w:rPr>
        <w:t>运输方式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各种交通运输方式的特点及相互差异</w:t>
      </w:r>
    </w:p>
    <w:p>
      <w:pPr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多式联运的概念、特性和组织模式</w:t>
      </w:r>
    </w:p>
    <w:p>
      <w:pPr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客运和货运的互补与竞争关系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24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t>理解道路、铁路、水上、航空和管道运输方式的竞争优势</w:t>
      </w:r>
      <w:r>
        <w:rPr>
          <w:rFonts w:hint="eastAsia"/>
          <w:sz w:val="28"/>
          <w:szCs w:val="28"/>
        </w:rPr>
        <w:t>；</w:t>
      </w:r>
    </w:p>
    <w:p>
      <w:pPr>
        <w:spacing w:after="0" w:line="24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2.了解多式联运运输链、集装箱运输的优势、问题与挑战；</w:t>
      </w:r>
    </w:p>
    <w:p>
      <w:pPr>
        <w:spacing w:after="0" w:line="24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3.掌握旅客运输和货物运输的各种方式</w:t>
      </w:r>
    </w:p>
    <w:p>
      <w:pPr>
        <w:spacing w:after="0" w:line="24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了解交通运输信息技术与机动性</w:t>
      </w:r>
    </w:p>
    <w:p>
      <w:pPr>
        <w:spacing w:after="0" w:line="24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</w:p>
    <w:p>
      <w:pPr>
        <w:pStyle w:val="11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四、</w:t>
      </w:r>
      <w:r>
        <w:rPr>
          <w:rFonts w:hint="eastAsia" w:ascii="宋体" w:hAnsi="宋体" w:eastAsia="宋体"/>
          <w:szCs w:val="28"/>
          <w:lang w:eastAsia="zh-CN"/>
        </w:rPr>
        <w:t>运输场站</w:t>
      </w:r>
    </w:p>
    <w:p>
      <w:pPr>
        <w:spacing w:after="0" w:line="24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numPr>
          <w:ilvl w:val="0"/>
          <w:numId w:val="5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运输场站的性质与功能</w:t>
      </w:r>
    </w:p>
    <w:p>
      <w:pPr>
        <w:numPr>
          <w:ilvl w:val="0"/>
          <w:numId w:val="5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场站区位</w:t>
      </w:r>
    </w:p>
    <w:p>
      <w:pPr>
        <w:numPr>
          <w:ilvl w:val="0"/>
          <w:numId w:val="5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运输场站管理模式</w:t>
      </w:r>
    </w:p>
    <w:p>
      <w:pPr>
        <w:spacing w:after="0" w:line="24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pStyle w:val="14"/>
        <w:widowControl w:val="0"/>
        <w:numPr>
          <w:ilvl w:val="0"/>
          <w:numId w:val="6"/>
        </w:numPr>
        <w:spacing w:after="0" w:line="240" w:lineRule="auto"/>
        <w:ind w:left="851" w:right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了解客运场站与货运场站的功能</w:t>
      </w:r>
    </w:p>
    <w:p>
      <w:pPr>
        <w:pStyle w:val="14"/>
        <w:widowControl w:val="0"/>
        <w:numPr>
          <w:ilvl w:val="0"/>
          <w:numId w:val="6"/>
        </w:numPr>
        <w:spacing w:after="0" w:line="240" w:lineRule="auto"/>
        <w:ind w:left="851" w:right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掌握场站成本构成</w:t>
      </w:r>
    </w:p>
    <w:p>
      <w:pPr>
        <w:pStyle w:val="14"/>
        <w:widowControl w:val="0"/>
        <w:numPr>
          <w:ilvl w:val="0"/>
          <w:numId w:val="6"/>
        </w:numPr>
        <w:spacing w:after="0" w:line="240" w:lineRule="auto"/>
        <w:ind w:left="851" w:right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理解港口场站、铁路场站、机场的相对区位特性及功能 </w:t>
      </w:r>
    </w:p>
    <w:p>
      <w:pPr>
        <w:pStyle w:val="14"/>
        <w:widowControl w:val="0"/>
        <w:numPr>
          <w:ilvl w:val="0"/>
          <w:numId w:val="6"/>
        </w:numPr>
        <w:spacing w:after="0" w:line="240" w:lineRule="auto"/>
        <w:ind w:left="851" w:right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了解场站管理的所有权和运营模式</w:t>
      </w:r>
    </w:p>
    <w:p>
      <w:pPr>
        <w:pStyle w:val="14"/>
        <w:widowControl w:val="0"/>
        <w:numPr>
          <w:ilvl w:val="0"/>
          <w:numId w:val="6"/>
        </w:numPr>
        <w:spacing w:after="0" w:line="240" w:lineRule="auto"/>
        <w:ind w:left="851" w:right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理解内陆港口的功能与作用</w:t>
      </w:r>
    </w:p>
    <w:p>
      <w:pPr>
        <w:pStyle w:val="14"/>
        <w:widowControl w:val="0"/>
        <w:spacing w:after="0" w:line="240" w:lineRule="auto"/>
        <w:ind w:left="491" w:right="0" w:firstLine="0" w:firstLineChars="0"/>
        <w:jc w:val="both"/>
        <w:rPr>
          <w:rFonts w:hint="eastAsia"/>
          <w:sz w:val="28"/>
          <w:szCs w:val="28"/>
        </w:rPr>
      </w:pPr>
    </w:p>
    <w:p>
      <w:pPr>
        <w:pStyle w:val="11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五、</w:t>
      </w:r>
      <w:r>
        <w:rPr>
          <w:rFonts w:hint="eastAsia" w:ascii="宋体" w:hAnsi="宋体" w:eastAsia="宋体"/>
          <w:szCs w:val="28"/>
          <w:lang w:eastAsia="zh-CN"/>
        </w:rPr>
        <w:t>国际贸易和货物配送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1．运输、全球化与国际贸易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2．商品链和货物运输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3．物流和货物配送 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1、掌握国际贸易、运输链和运输流的关系；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2、理解商品链和价值链；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3、掌握物流的概念、控制目标及其供应链管理；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、了解冷链物流及重要性。</w:t>
      </w:r>
    </w:p>
    <w:p>
      <w:pPr>
        <w:spacing w:line="240" w:lineRule="auto"/>
        <w:rPr>
          <w:rFonts w:hint="eastAsia"/>
          <w:sz w:val="28"/>
          <w:szCs w:val="28"/>
        </w:rPr>
      </w:pPr>
    </w:p>
    <w:p>
      <w:pPr>
        <w:pStyle w:val="11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六、</w:t>
      </w:r>
      <w:r>
        <w:rPr>
          <w:rFonts w:hint="eastAsia" w:ascii="宋体" w:hAnsi="宋体" w:eastAsia="宋体"/>
          <w:szCs w:val="28"/>
          <w:lang w:eastAsia="zh-CN"/>
        </w:rPr>
        <w:t>城市交通运输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pStyle w:val="13"/>
        <w:spacing w:line="240" w:lineRule="auto"/>
        <w:ind w:firstLine="56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1．交通运输与城市形态。</w:t>
      </w:r>
    </w:p>
    <w:p>
      <w:pPr>
        <w:pStyle w:val="13"/>
        <w:spacing w:line="240" w:lineRule="auto"/>
        <w:ind w:firstLine="56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2．土地利用与交通相互作用关系。</w:t>
      </w:r>
    </w:p>
    <w:p>
      <w:pPr>
        <w:pStyle w:val="13"/>
        <w:spacing w:line="240" w:lineRule="auto"/>
        <w:ind w:firstLine="56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3．城市机动性与交通问题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1．理解城市化进程、城市的空间结构形态与演变、城市道路网格局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2．理解城市土地利用与交通的相互作用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3．掌握城市土地利用模型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4．了解城市交通问题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了解城市物流的概念与城市货物配送的多样性</w:t>
      </w:r>
    </w:p>
    <w:p>
      <w:pPr>
        <w:spacing w:line="240" w:lineRule="auto"/>
        <w:rPr>
          <w:rFonts w:hint="eastAsia"/>
          <w:sz w:val="28"/>
          <w:szCs w:val="28"/>
        </w:rPr>
      </w:pPr>
    </w:p>
    <w:p>
      <w:pPr>
        <w:pStyle w:val="11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七、</w:t>
      </w:r>
      <w:r>
        <w:rPr>
          <w:rFonts w:hint="eastAsia" w:ascii="宋体" w:hAnsi="宋体" w:eastAsia="宋体"/>
          <w:szCs w:val="28"/>
          <w:lang w:eastAsia="zh-CN"/>
        </w:rPr>
        <w:t>交通运输与经济</w:t>
      </w:r>
    </w:p>
    <w:p>
      <w:pPr>
        <w:spacing w:after="0" w:line="24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pStyle w:val="13"/>
        <w:spacing w:line="240" w:lineRule="auto"/>
        <w:ind w:firstLine="560"/>
        <w:rPr>
          <w:rFonts w:hint="eastAsia" w:ascii="宋体" w:hAnsi="宋体" w:cs="宋体"/>
          <w:kern w:val="0"/>
          <w:sz w:val="28"/>
        </w:rPr>
      </w:pPr>
      <w:r>
        <w:rPr>
          <w:rFonts w:hint="eastAsia" w:ascii="宋体" w:hAnsi="宋体" w:cs="宋体"/>
          <w:sz w:val="28"/>
        </w:rPr>
        <w:t>1</w:t>
      </w:r>
      <w:r>
        <w:rPr>
          <w:rFonts w:hint="eastAsia" w:ascii="宋体" w:hAnsi="宋体" w:cs="宋体"/>
          <w:kern w:val="0"/>
          <w:sz w:val="28"/>
        </w:rPr>
        <w:t>．运输对经济的重要性</w:t>
      </w:r>
    </w:p>
    <w:p>
      <w:pPr>
        <w:pStyle w:val="13"/>
        <w:spacing w:line="240" w:lineRule="auto"/>
        <w:ind w:firstLine="56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2</w:t>
      </w:r>
      <w:r>
        <w:rPr>
          <w:rFonts w:hint="eastAsia" w:ascii="宋体" w:hAnsi="宋体" w:cs="宋体"/>
          <w:kern w:val="0"/>
          <w:sz w:val="28"/>
        </w:rPr>
        <w:t>．运输成本构成</w:t>
      </w:r>
    </w:p>
    <w:p>
      <w:pPr>
        <w:pStyle w:val="13"/>
        <w:spacing w:line="240" w:lineRule="auto"/>
        <w:ind w:firstLine="560"/>
        <w:rPr>
          <w:rFonts w:hint="eastAsia" w:ascii="宋体" w:hAnsi="宋体" w:cs="宋体"/>
          <w:kern w:val="0"/>
          <w:sz w:val="28"/>
        </w:rPr>
      </w:pPr>
      <w:r>
        <w:rPr>
          <w:rFonts w:hint="eastAsia" w:ascii="宋体" w:hAnsi="宋体" w:cs="宋体"/>
          <w:sz w:val="28"/>
        </w:rPr>
        <w:t>3</w:t>
      </w:r>
      <w:r>
        <w:rPr>
          <w:rFonts w:hint="eastAsia" w:ascii="宋体" w:hAnsi="宋体" w:cs="宋体"/>
          <w:kern w:val="0"/>
          <w:sz w:val="28"/>
        </w:rPr>
        <w:t>．运输供给和需求的关系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1．了解运输对经济的直接影响、间接影响、相关影响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2．掌握运输成本的构成要素及成本类型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3．掌握运输供给与需求的关系</w:t>
      </w:r>
    </w:p>
    <w:p>
      <w:pPr>
        <w:spacing w:line="240" w:lineRule="auto"/>
        <w:rPr>
          <w:rFonts w:hint="eastAsia"/>
          <w:sz w:val="28"/>
          <w:szCs w:val="28"/>
        </w:rPr>
      </w:pPr>
      <w:bookmarkStart w:id="0" w:name="OLE_LINK7"/>
      <w:bookmarkStart w:id="1" w:name="OLE_LINK1"/>
      <w:r>
        <w:rPr>
          <w:rFonts w:hint="eastAsia"/>
          <w:sz w:val="28"/>
          <w:szCs w:val="28"/>
        </w:rPr>
        <w:t>4．</w:t>
      </w:r>
      <w:bookmarkEnd w:id="0"/>
      <w:bookmarkEnd w:id="1"/>
      <w:r>
        <w:rPr>
          <w:rFonts w:hint="eastAsia"/>
          <w:sz w:val="28"/>
          <w:szCs w:val="28"/>
        </w:rPr>
        <w:t>了解全球邮轮市场动态、主要停靠港口和网络行程类型</w:t>
      </w:r>
    </w:p>
    <w:p>
      <w:pPr>
        <w:spacing w:after="0" w:line="240" w:lineRule="auto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八、</w:t>
      </w:r>
      <w:r>
        <w:rPr>
          <w:rFonts w:hint="eastAsia" w:ascii="宋体" w:hAnsi="宋体" w:eastAsia="宋体"/>
          <w:szCs w:val="28"/>
          <w:lang w:eastAsia="zh-CN"/>
        </w:rPr>
        <w:t>交通、能源和环境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1．交通对环境的影响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2．交通和能源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交通运输与可持续发展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pStyle w:val="14"/>
        <w:widowControl w:val="0"/>
        <w:numPr>
          <w:ilvl w:val="0"/>
          <w:numId w:val="7"/>
        </w:numPr>
        <w:spacing w:after="0" w:line="240" w:lineRule="auto"/>
        <w:ind w:right="0" w:firstLine="6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了解交通系统和环境系统的联系</w:t>
      </w:r>
    </w:p>
    <w:p>
      <w:pPr>
        <w:pStyle w:val="14"/>
        <w:widowControl w:val="0"/>
        <w:numPr>
          <w:ilvl w:val="0"/>
          <w:numId w:val="7"/>
        </w:numPr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理解交通能源消耗和能源效率</w:t>
      </w:r>
    </w:p>
    <w:p>
      <w:pPr>
        <w:pStyle w:val="14"/>
        <w:widowControl w:val="0"/>
        <w:numPr>
          <w:ilvl w:val="0"/>
          <w:numId w:val="7"/>
        </w:numPr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掌握可持续交通的概念和内涵</w:t>
      </w:r>
    </w:p>
    <w:p>
      <w:pPr>
        <w:pStyle w:val="14"/>
        <w:widowControl w:val="0"/>
        <w:numPr>
          <w:ilvl w:val="0"/>
          <w:numId w:val="7"/>
        </w:numPr>
        <w:spacing w:after="0" w:line="240" w:lineRule="auto"/>
        <w:ind w:left="426" w:right="0" w:firstLine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了解绿色物流、交通运输与气候变化的关注热点</w:t>
      </w:r>
    </w:p>
    <w:p>
      <w:pPr>
        <w:pStyle w:val="14"/>
        <w:widowControl w:val="0"/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</w:p>
    <w:p>
      <w:pPr>
        <w:pStyle w:val="11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  <w:lang w:eastAsia="zh-CN"/>
        </w:rPr>
        <w:t>九</w:t>
      </w:r>
      <w:r>
        <w:rPr>
          <w:rFonts w:hint="eastAsia"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运输规划与政策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1．运输政策的基本概念和思路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2．交通规划过程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运输安全保障、运输和灾难方面的潜在威胁和风险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pStyle w:val="14"/>
        <w:widowControl w:val="0"/>
        <w:numPr>
          <w:ilvl w:val="0"/>
          <w:numId w:val="8"/>
        </w:numPr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理解运输政策、运输规划、公共政策的内涵；</w:t>
      </w:r>
    </w:p>
    <w:p>
      <w:pPr>
        <w:pStyle w:val="14"/>
        <w:widowControl w:val="0"/>
        <w:numPr>
          <w:ilvl w:val="0"/>
          <w:numId w:val="8"/>
        </w:numPr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了解交通运输政策发展趋势；</w:t>
      </w:r>
    </w:p>
    <w:p>
      <w:pPr>
        <w:pStyle w:val="14"/>
        <w:widowControl w:val="0"/>
        <w:numPr>
          <w:ilvl w:val="0"/>
          <w:numId w:val="8"/>
        </w:numPr>
        <w:spacing w:after="0" w:line="240" w:lineRule="auto"/>
        <w:ind w:left="426" w:right="0" w:firstLine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掌握传统的“四阶段”交通规划思路与过程</w:t>
      </w:r>
    </w:p>
    <w:p>
      <w:pPr>
        <w:pStyle w:val="14"/>
        <w:widowControl w:val="0"/>
        <w:numPr>
          <w:ilvl w:val="0"/>
          <w:numId w:val="8"/>
        </w:numPr>
        <w:spacing w:after="0" w:line="240" w:lineRule="auto"/>
        <w:ind w:left="426" w:right="0" w:firstLine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了解交通需求管理措施</w:t>
      </w:r>
    </w:p>
    <w:p>
      <w:pPr>
        <w:pStyle w:val="14"/>
        <w:widowControl w:val="0"/>
        <w:numPr>
          <w:ilvl w:val="0"/>
          <w:numId w:val="8"/>
        </w:numPr>
        <w:spacing w:after="0" w:line="240" w:lineRule="auto"/>
        <w:ind w:left="426" w:right="0" w:firstLine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了解交通运输安全与应急保障措施</w:t>
      </w:r>
    </w:p>
    <w:p>
      <w:pPr>
        <w:pStyle w:val="14"/>
        <w:widowControl w:val="0"/>
        <w:numPr>
          <w:ilvl w:val="0"/>
          <w:numId w:val="8"/>
        </w:numPr>
        <w:spacing w:after="0" w:line="240" w:lineRule="auto"/>
        <w:ind w:left="426" w:right="0" w:firstLine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了解运输和流行病传播方面的相关案例</w:t>
      </w:r>
    </w:p>
    <w:p>
      <w:pPr>
        <w:pStyle w:val="14"/>
        <w:widowControl w:val="0"/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</w:p>
    <w:p>
      <w:pPr>
        <w:pStyle w:val="11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  <w:lang w:eastAsia="zh-CN"/>
        </w:rPr>
        <w:t>十</w:t>
      </w:r>
      <w:r>
        <w:rPr>
          <w:rFonts w:hint="eastAsia"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交通运输分析方法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1．图论和网络数据模型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2．交通运输地理信息系统(GIS-T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构建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可达性理解和计算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运输技术经济指标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基尼系数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hint="eastAsia"/>
          <w:sz w:val="28"/>
          <w:szCs w:val="28"/>
        </w:rPr>
        <w:t>OD矩阵和四阶段模型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pStyle w:val="14"/>
        <w:widowControl w:val="0"/>
        <w:numPr>
          <w:ilvl w:val="0"/>
          <w:numId w:val="9"/>
        </w:numPr>
        <w:spacing w:after="0" w:line="240" w:lineRule="auto"/>
        <w:ind w:left="426" w:right="0" w:firstLine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掌握综合交通运输网络的图论表示方法，能够绘制多模式交通运输网的基本图形</w:t>
      </w:r>
    </w:p>
    <w:p>
      <w:pPr>
        <w:pStyle w:val="14"/>
        <w:widowControl w:val="0"/>
        <w:numPr>
          <w:ilvl w:val="0"/>
          <w:numId w:val="9"/>
        </w:numPr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掌握网络节点、链接及其结构的基本概念，网络指数及节点衡量指标的计算方法；</w:t>
      </w:r>
    </w:p>
    <w:p>
      <w:pPr>
        <w:pStyle w:val="14"/>
        <w:widowControl w:val="0"/>
        <w:numPr>
          <w:ilvl w:val="0"/>
          <w:numId w:val="9"/>
        </w:numPr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了解交通运输地理信息系统的基本组成部分及应用；</w:t>
      </w:r>
    </w:p>
    <w:p>
      <w:pPr>
        <w:pStyle w:val="14"/>
        <w:widowControl w:val="0"/>
        <w:numPr>
          <w:ilvl w:val="0"/>
          <w:numId w:val="9"/>
        </w:numPr>
        <w:spacing w:after="0" w:line="240" w:lineRule="auto"/>
        <w:ind w:left="426" w:right="0" w:firstLine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掌握可达性的定义和计算方法</w:t>
      </w:r>
    </w:p>
    <w:p>
      <w:pPr>
        <w:pStyle w:val="14"/>
        <w:widowControl w:val="0"/>
        <w:numPr>
          <w:ilvl w:val="0"/>
          <w:numId w:val="9"/>
        </w:numPr>
        <w:spacing w:after="0" w:line="240" w:lineRule="auto"/>
        <w:ind w:left="426" w:right="0" w:firstLine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掌握综合交通运输系统的主要技术经济指标</w:t>
      </w:r>
    </w:p>
    <w:p>
      <w:pPr>
        <w:pStyle w:val="14"/>
        <w:widowControl w:val="0"/>
        <w:numPr>
          <w:ilvl w:val="0"/>
          <w:numId w:val="9"/>
        </w:numPr>
        <w:spacing w:after="0" w:line="240" w:lineRule="auto"/>
        <w:ind w:left="426" w:right="0" w:firstLine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掌握基尼系数的计算方法</w:t>
      </w:r>
    </w:p>
    <w:p>
      <w:pPr>
        <w:pStyle w:val="14"/>
        <w:widowControl w:val="0"/>
        <w:numPr>
          <w:ilvl w:val="0"/>
          <w:numId w:val="9"/>
        </w:numPr>
        <w:spacing w:after="0" w:line="240" w:lineRule="auto"/>
        <w:ind w:left="426" w:right="0" w:firstLine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掌握OD矩阵的定义与构建方法，了解重力模型</w:t>
      </w:r>
    </w:p>
    <w:p>
      <w:pPr>
        <w:pStyle w:val="14"/>
        <w:widowControl w:val="0"/>
        <w:numPr>
          <w:ilvl w:val="0"/>
          <w:numId w:val="9"/>
        </w:numPr>
        <w:spacing w:after="0" w:line="240" w:lineRule="auto"/>
        <w:ind w:left="426" w:right="0" w:firstLine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掌握传统四阶段模型理论及每阶段的主要分析方法</w:t>
      </w:r>
    </w:p>
    <w:p>
      <w:pPr>
        <w:pStyle w:val="14"/>
        <w:widowControl w:val="0"/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</w:p>
    <w:p>
      <w:pPr>
        <w:pStyle w:val="14"/>
        <w:widowControl w:val="0"/>
        <w:spacing w:after="0" w:line="240" w:lineRule="auto"/>
        <w:ind w:left="0" w:right="0" w:firstLine="0" w:firstLineChars="0"/>
        <w:jc w:val="both"/>
        <w:rPr>
          <w:rFonts w:hint="eastAsia"/>
          <w:sz w:val="28"/>
          <w:szCs w:val="28"/>
        </w:rPr>
      </w:pPr>
    </w:p>
    <w:p>
      <w:pPr>
        <w:pStyle w:val="14"/>
        <w:widowControl w:val="0"/>
        <w:numPr>
          <w:ilvl w:val="0"/>
          <w:numId w:val="10"/>
        </w:numPr>
        <w:spacing w:after="0" w:line="240" w:lineRule="auto"/>
        <w:ind w:right="0" w:firstLineChars="0"/>
        <w:jc w:val="both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参阅：</w:t>
      </w:r>
    </w:p>
    <w:p>
      <w:pPr>
        <w:pStyle w:val="14"/>
        <w:widowControl w:val="0"/>
        <w:spacing w:after="0" w:line="240" w:lineRule="auto"/>
        <w:ind w:left="843" w:right="0" w:firstLine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《交通运输地理》（第一版）Jean-Paul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Rodrigue</w:t>
      </w:r>
      <w:r>
        <w:rPr>
          <w:kern w:val="0"/>
          <w:sz w:val="28"/>
          <w:szCs w:val="28"/>
        </w:rPr>
        <w:t xml:space="preserve">, </w:t>
      </w:r>
      <w:r>
        <w:rPr>
          <w:rFonts w:hint="eastAsia"/>
          <w:kern w:val="0"/>
          <w:sz w:val="28"/>
          <w:szCs w:val="28"/>
        </w:rPr>
        <w:t>Claude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Comtois</w:t>
      </w:r>
      <w:r>
        <w:rPr>
          <w:kern w:val="0"/>
          <w:sz w:val="28"/>
          <w:szCs w:val="28"/>
        </w:rPr>
        <w:t>, Brian Slack</w:t>
      </w:r>
      <w:r>
        <w:rPr>
          <w:rFonts w:hint="eastAsia"/>
          <w:kern w:val="0"/>
          <w:sz w:val="28"/>
          <w:szCs w:val="28"/>
        </w:rPr>
        <w:t xml:space="preserve">著，王建伟 付鑫 译 人民交通出版社 </w:t>
      </w:r>
      <w:r>
        <w:rPr>
          <w:kern w:val="0"/>
          <w:sz w:val="28"/>
          <w:szCs w:val="28"/>
        </w:rPr>
        <w:t>2014</w:t>
      </w:r>
      <w:r>
        <w:rPr>
          <w:rFonts w:hint="eastAsia"/>
          <w:kern w:val="0"/>
          <w:sz w:val="28"/>
          <w:szCs w:val="28"/>
        </w:rPr>
        <w:t>年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7419AD"/>
    <w:multiLevelType w:val="multilevel"/>
    <w:tmpl w:val="007419AD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3881689"/>
    <w:multiLevelType w:val="multilevel"/>
    <w:tmpl w:val="03881689"/>
    <w:lvl w:ilvl="0" w:tentative="0">
      <w:start w:val="1"/>
      <w:numFmt w:val="bullet"/>
      <w:lvlText w:val=""/>
      <w:lvlJc w:val="left"/>
      <w:pPr>
        <w:ind w:left="126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3" w:hanging="420"/>
      </w:pPr>
      <w:rPr>
        <w:rFonts w:hint="default" w:ascii="Wingdings" w:hAnsi="Wingdings"/>
      </w:rPr>
    </w:lvl>
  </w:abstractNum>
  <w:abstractNum w:abstractNumId="2">
    <w:nsid w:val="17EA3192"/>
    <w:multiLevelType w:val="multilevel"/>
    <w:tmpl w:val="17EA3192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">
    <w:nsid w:val="1F0D7689"/>
    <w:multiLevelType w:val="multilevel"/>
    <w:tmpl w:val="1F0D7689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4">
    <w:nsid w:val="269F4893"/>
    <w:multiLevelType w:val="multilevel"/>
    <w:tmpl w:val="269F4893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29AF5973"/>
    <w:multiLevelType w:val="multilevel"/>
    <w:tmpl w:val="29AF5973"/>
    <w:lvl w:ilvl="0" w:tentative="0">
      <w:start w:val="1"/>
      <w:numFmt w:val="decimal"/>
      <w:lvlText w:val="%1."/>
      <w:lvlJc w:val="left"/>
      <w:pPr>
        <w:ind w:left="420" w:hanging="420"/>
      </w:pPr>
      <w:rPr>
        <w:rFonts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9D638CF"/>
    <w:multiLevelType w:val="multilevel"/>
    <w:tmpl w:val="29D638CF"/>
    <w:lvl w:ilvl="0" w:tentative="0">
      <w:start w:val="1"/>
      <w:numFmt w:val="decimal"/>
      <w:lvlText w:val="%1."/>
      <w:lvlJc w:val="left"/>
      <w:pPr>
        <w:tabs>
          <w:tab w:val="left" w:pos="783"/>
        </w:tabs>
        <w:ind w:left="78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3"/>
        </w:tabs>
        <w:ind w:left="1263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3"/>
        </w:tabs>
        <w:ind w:left="1683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3"/>
        </w:tabs>
        <w:ind w:left="2103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3"/>
        </w:tabs>
        <w:ind w:left="2523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3"/>
        </w:tabs>
        <w:ind w:left="2943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3"/>
        </w:tabs>
        <w:ind w:left="3363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3"/>
        </w:tabs>
        <w:ind w:left="3783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3"/>
        </w:tabs>
        <w:ind w:left="4203" w:hanging="420"/>
      </w:pPr>
    </w:lvl>
  </w:abstractNum>
  <w:abstractNum w:abstractNumId="7">
    <w:nsid w:val="392209A5"/>
    <w:multiLevelType w:val="multilevel"/>
    <w:tmpl w:val="392209A5"/>
    <w:lvl w:ilvl="0" w:tentative="0">
      <w:start w:val="1"/>
      <w:numFmt w:val="decimal"/>
      <w:lvlText w:val="%1."/>
      <w:lvlJc w:val="left"/>
      <w:pPr>
        <w:tabs>
          <w:tab w:val="left" w:pos="783"/>
        </w:tabs>
        <w:ind w:left="78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3"/>
        </w:tabs>
        <w:ind w:left="1263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3"/>
        </w:tabs>
        <w:ind w:left="1683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3"/>
        </w:tabs>
        <w:ind w:left="2103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3"/>
        </w:tabs>
        <w:ind w:left="2523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3"/>
        </w:tabs>
        <w:ind w:left="2943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3"/>
        </w:tabs>
        <w:ind w:left="3363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3"/>
        </w:tabs>
        <w:ind w:left="3783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3"/>
        </w:tabs>
        <w:ind w:left="4203" w:hanging="420"/>
      </w:pPr>
    </w:lvl>
  </w:abstractNum>
  <w:abstractNum w:abstractNumId="8">
    <w:nsid w:val="3C66536E"/>
    <w:multiLevelType w:val="multilevel"/>
    <w:tmpl w:val="3C66536E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9">
    <w:nsid w:val="708E5961"/>
    <w:multiLevelType w:val="multilevel"/>
    <w:tmpl w:val="708E596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4A62"/>
    <w:rsid w:val="000C1640"/>
    <w:rsid w:val="00100528"/>
    <w:rsid w:val="00110C2D"/>
    <w:rsid w:val="00110D02"/>
    <w:rsid w:val="001F6FA7"/>
    <w:rsid w:val="0021517D"/>
    <w:rsid w:val="00220170"/>
    <w:rsid w:val="002228A9"/>
    <w:rsid w:val="00224DFE"/>
    <w:rsid w:val="00277E57"/>
    <w:rsid w:val="002B568E"/>
    <w:rsid w:val="002D7714"/>
    <w:rsid w:val="00310038"/>
    <w:rsid w:val="00323C54"/>
    <w:rsid w:val="0032738A"/>
    <w:rsid w:val="00342D62"/>
    <w:rsid w:val="00347303"/>
    <w:rsid w:val="003B482F"/>
    <w:rsid w:val="003B585B"/>
    <w:rsid w:val="004410D4"/>
    <w:rsid w:val="004608C2"/>
    <w:rsid w:val="00487419"/>
    <w:rsid w:val="0049289F"/>
    <w:rsid w:val="00511A75"/>
    <w:rsid w:val="005158C4"/>
    <w:rsid w:val="00583B1D"/>
    <w:rsid w:val="005854A2"/>
    <w:rsid w:val="005859D0"/>
    <w:rsid w:val="006F30D3"/>
    <w:rsid w:val="0073653B"/>
    <w:rsid w:val="00796EF5"/>
    <w:rsid w:val="007C74B7"/>
    <w:rsid w:val="007D52D6"/>
    <w:rsid w:val="007F5E19"/>
    <w:rsid w:val="00802A59"/>
    <w:rsid w:val="008242C7"/>
    <w:rsid w:val="0086001E"/>
    <w:rsid w:val="008A49D9"/>
    <w:rsid w:val="00962780"/>
    <w:rsid w:val="009E10BD"/>
    <w:rsid w:val="00A23EFF"/>
    <w:rsid w:val="00A30345"/>
    <w:rsid w:val="00A5646D"/>
    <w:rsid w:val="00A733EE"/>
    <w:rsid w:val="00A97272"/>
    <w:rsid w:val="00AC7281"/>
    <w:rsid w:val="00B5105B"/>
    <w:rsid w:val="00B5411A"/>
    <w:rsid w:val="00B91BF4"/>
    <w:rsid w:val="00C15A2A"/>
    <w:rsid w:val="00C23BA5"/>
    <w:rsid w:val="00C24908"/>
    <w:rsid w:val="00C978A8"/>
    <w:rsid w:val="00D04A9A"/>
    <w:rsid w:val="00D70457"/>
    <w:rsid w:val="00D71E5A"/>
    <w:rsid w:val="00D91442"/>
    <w:rsid w:val="00D96041"/>
    <w:rsid w:val="00DF6994"/>
    <w:rsid w:val="00EA3089"/>
    <w:rsid w:val="00EA3FB3"/>
    <w:rsid w:val="00F9565B"/>
    <w:rsid w:val="00FE1406"/>
    <w:rsid w:val="00FE623B"/>
    <w:rsid w:val="03723D8C"/>
    <w:rsid w:val="6D4935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customStyle="1" w:styleId="7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8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9">
    <w:name w:val="Placeholder Text"/>
    <w:semiHidden/>
    <w:uiPriority w:val="99"/>
    <w:rPr>
      <w:color w:val="808080"/>
    </w:rPr>
  </w:style>
  <w:style w:type="character" w:customStyle="1" w:styleId="10">
    <w:name w:val="样式1 Char"/>
    <w:link w:val="11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1">
    <w:name w:val="样式1"/>
    <w:basedOn w:val="1"/>
    <w:link w:val="10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2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paragraph" w:customStyle="1" w:styleId="13">
    <w:name w:val="样式3"/>
    <w:basedOn w:val="1"/>
    <w:uiPriority w:val="0"/>
    <w:pPr>
      <w:widowControl w:val="0"/>
      <w:spacing w:after="0" w:afterLines="0" w:line="300" w:lineRule="auto"/>
      <w:ind w:left="0" w:right="0" w:firstLine="422" w:firstLineChars="200"/>
      <w:jc w:val="both"/>
    </w:pPr>
    <w:rPr>
      <w:rFonts w:ascii="Times New Roman" w:hAnsi="Times New Roman" w:cs="Times New Roman"/>
      <w:color w:val="auto"/>
      <w:szCs w:val="2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265</Words>
  <Characters>1514</Characters>
  <Lines>12</Lines>
  <Paragraphs>3</Paragraphs>
  <TotalTime>0</TotalTime>
  <ScaleCrop>false</ScaleCrop>
  <LinksUpToDate>false</LinksUpToDate>
  <CharactersWithSpaces>1776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2014-08-27T02:14:00Z</dcterms:created>
  <dc:creator>DELL</dc:creator>
  <cp:lastModifiedBy>vertesyuan</cp:lastModifiedBy>
  <dcterms:modified xsi:type="dcterms:W3CDTF">2024-01-09T06:41:39Z</dcterms:modified>
  <dc:title>2014年数学考研大纲(数学一)</dc:title>
  <cp:revision>171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F152E6E7BD2C4072804E3E9248DCE561_13</vt:lpwstr>
  </property>
</Properties>
</file>