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sz w:val="32"/>
          <w:szCs w:val="32"/>
          <w:lang w:eastAsia="zh-CN"/>
        </w:rPr>
      </w:pPr>
      <w:r>
        <w:rPr>
          <w:rFonts w:hint="eastAsia" w:ascii="黑体" w:hAnsi="黑体" w:eastAsia="黑体"/>
          <w:b/>
          <w:bCs/>
          <w:sz w:val="32"/>
          <w:szCs w:val="32"/>
        </w:rPr>
        <w:t>20</w:t>
      </w:r>
      <w:r>
        <w:rPr>
          <w:rFonts w:hint="eastAsia" w:ascii="黑体" w:hAnsi="黑体" w:eastAsia="黑体"/>
          <w:b/>
          <w:bCs/>
          <w:sz w:val="32"/>
          <w:szCs w:val="32"/>
          <w:lang w:val="en-US" w:eastAsia="zh-CN"/>
        </w:rPr>
        <w:t>20</w:t>
      </w:r>
      <w:r>
        <w:rPr>
          <w:rFonts w:hint="eastAsia" w:ascii="黑体" w:hAnsi="黑体" w:eastAsia="黑体"/>
          <w:b/>
          <w:bCs/>
          <w:sz w:val="32"/>
          <w:szCs w:val="32"/>
        </w:rPr>
        <w:t>年全国硕士研究生招生考试</w:t>
      </w:r>
      <w:r>
        <w:rPr>
          <w:rFonts w:hint="eastAsia" w:ascii="黑体" w:hAnsi="黑体" w:eastAsia="黑体"/>
          <w:b/>
          <w:bCs/>
          <w:sz w:val="32"/>
          <w:szCs w:val="32"/>
          <w:lang w:eastAsia="zh-CN"/>
        </w:rPr>
        <w:t>《西方经济学》</w:t>
      </w:r>
      <w:bookmarkStart w:id="2" w:name="_GoBack"/>
      <w:bookmarkEnd w:id="2"/>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bCs/>
          <w:sz w:val="32"/>
          <w:szCs w:val="32"/>
        </w:rPr>
      </w:pPr>
      <w:r>
        <w:rPr>
          <w:rFonts w:hint="eastAsia" w:ascii="黑体" w:hAnsi="黑体" w:eastAsia="黑体"/>
          <w:b/>
          <w:bCs/>
          <w:sz w:val="32"/>
          <w:szCs w:val="32"/>
        </w:rPr>
        <w:t>考试大纲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Ⅰ．考试性质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西方经济学主要由微观经济学和宏观经济学构成，是经济管理类专业的基础课之一。这门课程的考试目的在于测试学生对微观经济学、宏观经济学的基本概念、基本原理及基本分析工具和分析方法的掌握程度，了解考生是否具备初步应用这些基本原理和方法来分析市场经济运行中的各种现象、解决市场经济中各种问题的能力，是否具备进一步深造的基本素养和潜质。其考试要求达到高等学校优秀本科毕业生的水平，以保证被录取者具有较好的经济学理论基础。考试内容覆盖了微观经济学和宏观经济学基础理论的全部内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Ⅱ．考查目标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西方经济学</w:t>
      </w:r>
      <w:r>
        <w:rPr>
          <w:rFonts w:hint="eastAsia" w:ascii="仿宋_GB2312" w:hAnsi="仿宋_GB2312" w:eastAsia="仿宋_GB2312" w:cs="仿宋_GB2312"/>
          <w:sz w:val="24"/>
          <w:szCs w:val="24"/>
        </w:rPr>
        <w:t>涵盖微观经济学和宏观经济学</w:t>
      </w:r>
      <w:r>
        <w:rPr>
          <w:rFonts w:hint="eastAsia" w:ascii="仿宋_GB2312" w:hAnsi="仿宋_GB2312" w:eastAsia="仿宋_GB2312" w:cs="仿宋_GB2312"/>
          <w:sz w:val="24"/>
          <w:szCs w:val="24"/>
          <w:lang w:eastAsia="zh-CN"/>
        </w:rPr>
        <w:t>基础理论的全部内容</w:t>
      </w:r>
      <w:r>
        <w:rPr>
          <w:rFonts w:hint="eastAsia" w:ascii="仿宋_GB2312" w:hAnsi="仿宋_GB2312" w:eastAsia="仿宋_GB2312" w:cs="仿宋_GB2312"/>
          <w:sz w:val="24"/>
          <w:szCs w:val="24"/>
        </w:rPr>
        <w:t>。要求考生：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了解和掌握经济学的基本概念、基本定律、基本理论。 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熟悉和掌握经济学的基本分析方法和工具。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.熟练运用经济学的基本原理,分析解决一些实际经济现象和经济问题。  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4.对市场经济运行机制的一般原理和规范行为等方面的内容有详尽的了解。</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Ⅲ．考试形式和试卷结构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
          <w:sz w:val="24"/>
          <w:szCs w:val="24"/>
        </w:rPr>
        <w:t>一、试卷满分及考试时间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本试卷满分为</w:t>
      </w:r>
      <w:r>
        <w:rPr>
          <w:rFonts w:hint="eastAsia" w:ascii="仿宋_GB2312" w:hAnsi="仿宋_GB2312" w:eastAsia="仿宋_GB2312" w:cs="仿宋_GB2312"/>
          <w:sz w:val="24"/>
          <w:szCs w:val="24"/>
          <w:lang w:val="en-US" w:eastAsia="zh-CN"/>
        </w:rPr>
        <w:t>150</w:t>
      </w:r>
      <w:r>
        <w:rPr>
          <w:rFonts w:hint="eastAsia" w:ascii="仿宋_GB2312" w:hAnsi="仿宋_GB2312" w:eastAsia="仿宋_GB2312" w:cs="仿宋_GB2312"/>
          <w:sz w:val="24"/>
          <w:szCs w:val="24"/>
        </w:rPr>
        <w:t>分，考试时间为180分钟。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
          <w:sz w:val="24"/>
          <w:szCs w:val="24"/>
        </w:rPr>
        <w:t>二、答题方式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答题方式为闭卷、笔试。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
          <w:sz w:val="24"/>
          <w:szCs w:val="24"/>
        </w:rPr>
        <w:t>三、试卷内容结构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eastAsia="zh-CN"/>
        </w:rPr>
        <w:t>微观经济学</w:t>
      </w:r>
      <w:r>
        <w:rPr>
          <w:rFonts w:hint="eastAsia" w:ascii="仿宋_GB2312" w:hAnsi="仿宋_GB2312" w:eastAsia="仿宋_GB2312" w:cs="仿宋_GB2312"/>
          <w:sz w:val="24"/>
          <w:szCs w:val="24"/>
          <w:lang w:val="en-US" w:eastAsia="zh-CN"/>
        </w:rPr>
        <w:t>45</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eastAsia="zh-CN"/>
        </w:rPr>
        <w:t>宏观经济学</w:t>
      </w:r>
      <w:r>
        <w:rPr>
          <w:rFonts w:hint="eastAsia" w:ascii="仿宋_GB2312" w:hAnsi="仿宋_GB2312" w:eastAsia="仿宋_GB2312" w:cs="仿宋_GB2312"/>
          <w:sz w:val="24"/>
          <w:szCs w:val="24"/>
          <w:lang w:val="en-US" w:eastAsia="zh-CN"/>
        </w:rPr>
        <w:t>45</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eastAsia="zh-CN"/>
        </w:rPr>
        <w:t>中央一号文件和中央经济工作会议精神</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
          <w:sz w:val="24"/>
          <w:szCs w:val="24"/>
        </w:rPr>
        <w:t>四、试卷题型结构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eastAsia="zh-CN"/>
        </w:rPr>
        <w:t>名词解释</w:t>
      </w: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小题，每小题</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eastAsia="zh-CN"/>
        </w:rPr>
        <w:t>简答题</w:t>
      </w:r>
      <w:r>
        <w:rPr>
          <w:rFonts w:hint="eastAsia" w:ascii="仿宋_GB2312" w:hAnsi="仿宋_GB2312" w:eastAsia="仿宋_GB2312" w:cs="仿宋_GB2312"/>
          <w:sz w:val="24"/>
          <w:szCs w:val="24"/>
          <w:lang w:val="en-US" w:eastAsia="zh-CN"/>
        </w:rPr>
        <w:t>32</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小题，每小题</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分析题5</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小题，每小题</w:t>
      </w:r>
      <w:r>
        <w:rPr>
          <w:rFonts w:hint="eastAsia" w:ascii="仿宋_GB2312" w:hAnsi="仿宋_GB2312" w:eastAsia="仿宋_GB2312" w:cs="仿宋_GB2312"/>
          <w:sz w:val="24"/>
          <w:szCs w:val="24"/>
          <w:lang w:val="en-US" w:eastAsia="zh-CN"/>
        </w:rPr>
        <w:t>13</w:t>
      </w:r>
      <w:r>
        <w:rPr>
          <w:rFonts w:hint="eastAsia" w:ascii="仿宋_GB2312" w:hAnsi="仿宋_GB2312" w:eastAsia="仿宋_GB2312" w:cs="仿宋_GB2312"/>
          <w:sz w:val="24"/>
          <w:szCs w:val="24"/>
        </w:rPr>
        <w:t>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论述题</w:t>
      </w:r>
      <w:r>
        <w:rPr>
          <w:rFonts w:hint="eastAsia" w:ascii="仿宋_GB2312" w:hAnsi="仿宋_GB2312" w:eastAsia="仿宋_GB2312" w:cs="仿宋_GB2312"/>
          <w:sz w:val="24"/>
          <w:szCs w:val="24"/>
          <w:lang w:val="en-US" w:eastAsia="zh-CN"/>
        </w:rPr>
        <w:t>46分</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小题，每小题</w:t>
      </w:r>
      <w:r>
        <w:rPr>
          <w:rFonts w:hint="eastAsia" w:ascii="仿宋_GB2312" w:hAnsi="仿宋_GB2312" w:eastAsia="仿宋_GB2312" w:cs="仿宋_GB2312"/>
          <w:sz w:val="24"/>
          <w:szCs w:val="24"/>
          <w:lang w:val="en-US" w:eastAsia="zh-CN"/>
        </w:rPr>
        <w:t>23</w:t>
      </w:r>
      <w:r>
        <w:rPr>
          <w:rFonts w:hint="eastAsia" w:ascii="仿宋_GB2312" w:hAnsi="仿宋_GB2312" w:eastAsia="仿宋_GB2312" w:cs="仿宋_GB2312"/>
          <w:sz w:val="24"/>
          <w:szCs w:val="24"/>
        </w:rPr>
        <w:t>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Ⅳ．考查内容</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黑体" w:hAnsi="黑体" w:eastAsia="黑体" w:cs="黑体"/>
          <w:sz w:val="24"/>
          <w:szCs w:val="24"/>
          <w:lang w:val="en-US" w:eastAsia="zh-CN"/>
        </w:rPr>
      </w:pPr>
      <w:r>
        <w:rPr>
          <w:rFonts w:hint="eastAsia" w:ascii="黑体" w:hAnsi="黑体" w:eastAsia="黑体" w:cs="黑体"/>
          <w:b/>
          <w:sz w:val="24"/>
          <w:szCs w:val="24"/>
        </w:rPr>
        <w:t>一、</w:t>
      </w:r>
      <w:r>
        <w:rPr>
          <w:rFonts w:hint="eastAsia" w:ascii="黑体" w:hAnsi="黑体" w:eastAsia="黑体" w:cs="黑体"/>
          <w:b/>
          <w:sz w:val="24"/>
          <w:szCs w:val="24"/>
          <w:lang w:eastAsia="zh-CN"/>
        </w:rPr>
        <w:t>微观经济学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jc w:val="both"/>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eastAsia="zh-CN"/>
        </w:rPr>
        <w:t>（一）</w:t>
      </w:r>
      <w:r>
        <w:rPr>
          <w:rFonts w:hint="eastAsia" w:ascii="仿宋_GB2312" w:hAnsi="仿宋_GB2312" w:eastAsia="仿宋_GB2312" w:cs="仿宋_GB2312"/>
          <w:b w:val="0"/>
          <w:bCs/>
          <w:sz w:val="24"/>
          <w:szCs w:val="24"/>
        </w:rPr>
        <w:t>引论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1.</w:t>
      </w:r>
      <w:r>
        <w:rPr>
          <w:rFonts w:hint="eastAsia" w:ascii="仿宋_GB2312" w:hAnsi="仿宋_GB2312" w:eastAsia="仿宋_GB2312" w:cs="仿宋_GB2312"/>
          <w:b w:val="0"/>
          <w:bCs/>
          <w:sz w:val="24"/>
          <w:szCs w:val="24"/>
        </w:rPr>
        <w:t>什么是西方经济学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   </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企事业的经营管理方法和经验</w:t>
      </w:r>
      <w:r>
        <w:rPr>
          <w:rFonts w:hint="eastAsia" w:ascii="仿宋_GB2312" w:hAnsi="仿宋_GB2312" w:eastAsia="仿宋_GB2312" w:cs="仿宋_GB2312"/>
          <w:b w:val="0"/>
          <w:bCs/>
          <w:sz w:val="24"/>
          <w:szCs w:val="24"/>
          <w:lang w:eastAsia="zh-CN"/>
        </w:rPr>
        <w:t>，</w:t>
      </w:r>
      <w:r>
        <w:rPr>
          <w:rFonts w:hint="eastAsia" w:ascii="仿宋_GB2312" w:hAnsi="仿宋_GB2312" w:eastAsia="仿宋_GB2312" w:cs="仿宋_GB2312"/>
          <w:b w:val="0"/>
          <w:bCs/>
          <w:sz w:val="24"/>
          <w:szCs w:val="24"/>
        </w:rPr>
        <w:t>对一个经济部门或经济领域或经济问题的集中研究成果</w:t>
      </w:r>
      <w:r>
        <w:rPr>
          <w:rFonts w:hint="eastAsia" w:ascii="仿宋_GB2312" w:hAnsi="仿宋_GB2312" w:eastAsia="仿宋_GB2312" w:cs="仿宋_GB2312"/>
          <w:b w:val="0"/>
          <w:bCs/>
          <w:sz w:val="24"/>
          <w:szCs w:val="24"/>
          <w:lang w:eastAsia="zh-CN"/>
        </w:rPr>
        <w:t>，</w:t>
      </w:r>
      <w:r>
        <w:rPr>
          <w:rFonts w:hint="eastAsia" w:ascii="仿宋_GB2312" w:hAnsi="仿宋_GB2312" w:eastAsia="仿宋_GB2312" w:cs="仿宋_GB2312"/>
          <w:b w:val="0"/>
          <w:bCs/>
          <w:sz w:val="24"/>
          <w:szCs w:val="24"/>
        </w:rPr>
        <w:t>经济理论的研究和考察。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2.</w:t>
      </w:r>
      <w:r>
        <w:rPr>
          <w:rFonts w:hint="eastAsia" w:ascii="仿宋_GB2312" w:hAnsi="仿宋_GB2312" w:eastAsia="仿宋_GB2312" w:cs="仿宋_GB2312"/>
          <w:b w:val="0"/>
          <w:bCs/>
          <w:sz w:val="24"/>
          <w:szCs w:val="24"/>
        </w:rPr>
        <w:t>现代西方经济学的由来和演变</w:t>
      </w:r>
    </w:p>
    <w:p>
      <w:pPr>
        <w:keepNext w:val="0"/>
        <w:keepLines w:val="0"/>
        <w:pageBreakBefore w:val="0"/>
        <w:widowControl w:val="0"/>
        <w:kinsoku/>
        <w:wordWrap/>
        <w:overflowPunct/>
        <w:topLinePunct w:val="0"/>
        <w:autoSpaceDE/>
        <w:autoSpaceDN/>
        <w:bidi w:val="0"/>
        <w:adjustRightInd/>
        <w:snapToGrid/>
        <w:spacing w:line="440" w:lineRule="exact"/>
        <w:ind w:firstLine="435"/>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资产阶级经济学从它的产生一直到现在，经历了重商主义、古典经济学、庸俗经济学和庸俗经济学后这四个阶段。在20世纪30年代，由于历史条件的变迁，传统的西方经济学先后经历了三次比较重大的修改和补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3.</w:t>
      </w:r>
      <w:r>
        <w:rPr>
          <w:rFonts w:hint="eastAsia" w:ascii="仿宋_GB2312" w:hAnsi="仿宋_GB2312" w:eastAsia="仿宋_GB2312" w:cs="仿宋_GB2312"/>
          <w:b w:val="0"/>
          <w:bCs/>
          <w:sz w:val="24"/>
          <w:szCs w:val="24"/>
        </w:rPr>
        <w:t>西方经济学企图解决的两个问题</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rPr>
        <w:t>第一，在意识形态上，宣传资本主义制度的合理性和优越性，从而旧强对该制度永恒存在的信念。第二，总结资本主义的市场经济运行的经验并把圣验提升为理论，以便为改善其运行，甚至在必要时为拯救其存在提供政策建议</w:t>
      </w:r>
      <w:r>
        <w:rPr>
          <w:rFonts w:hint="eastAsia" w:ascii="仿宋_GB2312" w:hAnsi="仿宋_GB2312" w:eastAsia="仿宋_GB2312" w:cs="仿宋_GB2312"/>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4.</w:t>
      </w:r>
      <w:r>
        <w:rPr>
          <w:rFonts w:hint="eastAsia" w:ascii="仿宋_GB2312" w:hAnsi="仿宋_GB2312" w:eastAsia="仿宋_GB2312" w:cs="仿宋_GB2312"/>
          <w:b w:val="0"/>
          <w:bCs/>
          <w:sz w:val="24"/>
          <w:szCs w:val="24"/>
        </w:rPr>
        <w:t>对西方经济学应持有的态度</w:t>
      </w:r>
    </w:p>
    <w:p>
      <w:pPr>
        <w:keepNext w:val="0"/>
        <w:keepLines w:val="0"/>
        <w:pageBreakBefore w:val="0"/>
        <w:widowControl w:val="0"/>
        <w:kinsoku/>
        <w:wordWrap/>
        <w:overflowPunct/>
        <w:topLinePunct w:val="0"/>
        <w:autoSpaceDE/>
        <w:autoSpaceDN/>
        <w:bidi w:val="0"/>
        <w:adjustRightInd/>
        <w:snapToGrid/>
        <w:spacing w:line="440" w:lineRule="exact"/>
        <w:ind w:firstLine="435"/>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在整个的理论体系上或整体倾向性上对它持否定的态度，而在具体的内容上应该看到它的有用之处。当然，是否真正有用还需考虑到国情的差别。</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5.</w:t>
      </w:r>
      <w:r>
        <w:rPr>
          <w:rFonts w:hint="eastAsia" w:ascii="仿宋_GB2312" w:hAnsi="仿宋_GB2312" w:eastAsia="仿宋_GB2312" w:cs="仿宋_GB2312"/>
          <w:b w:val="0"/>
          <w:bCs/>
          <w:sz w:val="24"/>
          <w:szCs w:val="24"/>
        </w:rPr>
        <w:t>为什么学习西方经济学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   第一，无论是马列主义的经典作家，还是西方经济学者，对经济理论都非常重视。 第二，上一节指出，即使以西方经济学中的有用部分而论，它是否真正有用还要看它是否适合我国的国情。第三，随着改革开放的进展，我国与西方的交往日益频繁。第四，西方经济学在不同的程度上构成许多西方经济学科和课程的理论基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（二）</w:t>
      </w:r>
      <w:r>
        <w:rPr>
          <w:rFonts w:hint="eastAsia" w:ascii="仿宋_GB2312" w:hAnsi="仿宋_GB2312" w:eastAsia="仿宋_GB2312" w:cs="仿宋_GB2312"/>
          <w:b w:val="0"/>
          <w:bCs w:val="0"/>
          <w:sz w:val="24"/>
          <w:szCs w:val="24"/>
        </w:rPr>
        <w:t>需求</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供给</w:t>
      </w:r>
      <w:r>
        <w:rPr>
          <w:rFonts w:hint="eastAsia" w:ascii="仿宋_GB2312" w:hAnsi="仿宋_GB2312" w:eastAsia="仿宋_GB2312" w:cs="仿宋_GB2312"/>
          <w:b w:val="0"/>
          <w:bCs w:val="0"/>
          <w:sz w:val="24"/>
          <w:szCs w:val="24"/>
          <w:lang w:eastAsia="zh-CN"/>
        </w:rPr>
        <w:t>和价格均衡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微观经济学的特点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微观经济学的研究对象</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微观经济学的一个基本假设条件</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对微观经济学的鸟瞰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需求曲线</w:t>
      </w:r>
      <w:r>
        <w:rPr>
          <w:rFonts w:hint="eastAsia" w:ascii="仿宋_GB2312" w:hAnsi="仿宋_GB2312" w:eastAsia="仿宋_GB2312" w:cs="仿宋_GB2312"/>
          <w:b w:val="0"/>
          <w:bCs w:val="0"/>
          <w:sz w:val="24"/>
          <w:szCs w:val="24"/>
          <w:lang w:eastAsia="zh-CN"/>
        </w:rPr>
        <w:t>、供给曲线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需求函数</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需求表和需求曲线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供给函数</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供给表和供给曲线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供求曲线的共同作用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均衡的含义</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均衡价格的决定</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均衡价格的变动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经济模型、静态分析、比较分析和动态分析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经济模型</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内生变量、外生变量和参数</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静态分析、比较静态分析和动态分析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6.</w:t>
      </w:r>
      <w:r>
        <w:rPr>
          <w:rFonts w:hint="eastAsia" w:ascii="仿宋_GB2312" w:hAnsi="仿宋_GB2312" w:eastAsia="仿宋_GB2312" w:cs="仿宋_GB2312"/>
          <w:b w:val="0"/>
          <w:bCs w:val="0"/>
          <w:sz w:val="24"/>
          <w:szCs w:val="24"/>
        </w:rPr>
        <w:t>需求弹性和供给弹性</w:t>
      </w:r>
      <w:r>
        <w:rPr>
          <w:rFonts w:hint="eastAsia" w:ascii="仿宋_GB2312" w:hAnsi="仿宋_GB2312" w:eastAsia="仿宋_GB2312" w:cs="仿宋_GB2312"/>
          <w:b w:val="0"/>
          <w:bCs w:val="0"/>
          <w:sz w:val="24"/>
          <w:szCs w:val="24"/>
          <w:lang w:eastAsia="zh-CN"/>
        </w:rPr>
        <w:t>、蛛网模型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弹性的一般含义</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需求的价格弹性的含义</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需求的价格弹性：弧弹性</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需求的价格弹性：点弹性</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需求的价格弹性和厂商的销售收入</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影响需求的价格弹性的因素</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弹性概念的扩大</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运用供求曲线的事例</w:t>
      </w:r>
      <w:r>
        <w:rPr>
          <w:rFonts w:hint="eastAsia" w:ascii="仿宋_GB2312" w:hAnsi="仿宋_GB2312" w:eastAsia="仿宋_GB2312" w:cs="仿宋_GB2312"/>
          <w:b w:val="0"/>
          <w:bCs w:val="0"/>
          <w:sz w:val="24"/>
          <w:szCs w:val="24"/>
          <w:lang w:eastAsia="zh-CN"/>
        </w:rPr>
        <w:t>，蛛网模型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（三）消费者选择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效用论概述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效用的概念</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基数效用和序数效用</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基数效用论和边际效用分析法概述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无差异曲线</w:t>
      </w:r>
      <w:r>
        <w:rPr>
          <w:rFonts w:hint="eastAsia" w:ascii="仿宋_GB2312" w:hAnsi="仿宋_GB2312" w:eastAsia="仿宋_GB2312" w:cs="仿宋_GB2312"/>
          <w:b w:val="0"/>
          <w:bCs w:val="0"/>
          <w:sz w:val="24"/>
          <w:szCs w:val="24"/>
          <w:lang w:eastAsia="zh-CN"/>
        </w:rPr>
        <w:t>、预算线、</w:t>
      </w:r>
      <w:r>
        <w:rPr>
          <w:rFonts w:hint="eastAsia" w:ascii="仿宋_GB2312" w:hAnsi="仿宋_GB2312" w:eastAsia="仿宋_GB2312" w:cs="仿宋_GB2312"/>
          <w:b w:val="0"/>
          <w:bCs w:val="0"/>
          <w:sz w:val="24"/>
          <w:szCs w:val="24"/>
        </w:rPr>
        <w:t>消费者的均衡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关于偏好的假定</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无差异曲线及其特点</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商品的边际替代率</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无差异曲线的特殊形状</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预算线的含义</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预算线的变动</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消费者的均衡</w:t>
      </w:r>
      <w:r>
        <w:rPr>
          <w:rFonts w:hint="eastAsia" w:ascii="仿宋_GB2312" w:hAnsi="仿宋_GB2312" w:eastAsia="仿宋_GB2312" w:cs="仿宋_GB2312"/>
          <w:b w:val="0"/>
          <w:bCs w:val="0"/>
          <w:sz w:val="24"/>
          <w:szCs w:val="24"/>
          <w:lang w:eastAsia="zh-CN"/>
        </w:rPr>
        <w:t>的经济学含义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价格变化和收入变化对消费者均衡的影响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价格变化：价格－消费曲线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消费者的需求曲线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收入变化：收入－消费曲线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恩格尔曲线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替代效应和收入效应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替代效应和收入效应的含义</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正常物品的替代效应和收入效应</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正常物品和低档物品的区别与收入效应</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低档物品的替代效应和收入效应</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吉芬物品的替代效应和收入效应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5.</w:t>
      </w:r>
      <w:r>
        <w:rPr>
          <w:rFonts w:hint="eastAsia" w:ascii="仿宋_GB2312" w:hAnsi="仿宋_GB2312" w:eastAsia="仿宋_GB2312" w:cs="仿宋_GB2312"/>
          <w:b w:val="0"/>
          <w:bCs w:val="0"/>
          <w:sz w:val="24"/>
          <w:szCs w:val="24"/>
        </w:rPr>
        <w:t>不确定性和风险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（四）</w:t>
      </w:r>
      <w:r>
        <w:rPr>
          <w:rFonts w:hint="eastAsia" w:ascii="仿宋_GB2312" w:hAnsi="仿宋_GB2312" w:eastAsia="仿宋_GB2312" w:cs="仿宋_GB2312"/>
          <w:b w:val="0"/>
          <w:bCs w:val="0"/>
          <w:sz w:val="24"/>
          <w:szCs w:val="24"/>
        </w:rPr>
        <w:t>生产</w:t>
      </w:r>
      <w:r>
        <w:rPr>
          <w:rFonts w:hint="eastAsia" w:ascii="仿宋_GB2312" w:hAnsi="仿宋_GB2312" w:eastAsia="仿宋_GB2312" w:cs="仿宋_GB2312"/>
          <w:b w:val="0"/>
          <w:bCs w:val="0"/>
          <w:sz w:val="24"/>
          <w:szCs w:val="24"/>
          <w:lang w:eastAsia="zh-CN"/>
        </w:rPr>
        <w:t>技术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厂商</w:t>
      </w:r>
      <w:r>
        <w:rPr>
          <w:rFonts w:hint="eastAsia" w:ascii="仿宋_GB2312" w:hAnsi="仿宋_GB2312" w:eastAsia="仿宋_GB2312" w:cs="仿宋_GB2312"/>
          <w:b w:val="0"/>
          <w:bCs w:val="0"/>
          <w:sz w:val="24"/>
          <w:szCs w:val="24"/>
          <w:lang w:eastAsia="zh-CN"/>
        </w:rPr>
        <w:t>、生产函数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厂商的组织形式</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企业的本质</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厂商的目标</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生产函数</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两种类型的生产函数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一种可变生产要素的生产函数</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两种可变生产要素的生产函数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一种可变生产要素的生产函数</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总产量、平均产量和边际产量</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边际报酬递减规律</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总产量、平均产量和边际产量相互之间的关系</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短期生产的三个阶段</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两种可变生产要素的生产函数</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等产量曲线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边际技术替代率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等成本线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最优的生产要素组合</w:t>
      </w:r>
      <w:r>
        <w:rPr>
          <w:rFonts w:hint="eastAsia" w:ascii="仿宋_GB2312" w:hAnsi="仿宋_GB2312" w:eastAsia="仿宋_GB2312" w:cs="仿宋_GB2312"/>
          <w:b w:val="0"/>
          <w:bCs w:val="0"/>
          <w:sz w:val="24"/>
          <w:szCs w:val="24"/>
          <w:lang w:eastAsia="zh-CN"/>
        </w:rPr>
        <w:t>、规模报酬</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等成本线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既定成本条件下的产量最大化</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既定产量条件下的成本最小化</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利润最大化可以得到最优的生产要素组合</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扩展线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规模报酬</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（五）</w:t>
      </w:r>
      <w:r>
        <w:rPr>
          <w:rFonts w:hint="eastAsia" w:ascii="仿宋_GB2312" w:hAnsi="仿宋_GB2312" w:eastAsia="仿宋_GB2312" w:cs="仿宋_GB2312"/>
          <w:b w:val="0"/>
          <w:bCs w:val="0"/>
          <w:sz w:val="24"/>
          <w:szCs w:val="24"/>
        </w:rPr>
        <w:t>成本</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成本的概念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机会成本</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显成本和隐成本</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利润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短期总产量和短期总成本</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短期总产量曲线和短期总成本曲线的关系</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短期总成本和扩展线的图形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短期成本曲线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短期成本的分类</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短期成本曲线的综合图</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短期成本变动的决定因素：边际报酬递减规律</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由总成本曲线到平均成本曲线和边际成本曲线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短期产量曲线与短期成本曲线之间的关系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长期成本曲线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长期总成本函数和长期总成本曲线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长期平均成本函数和长期平均成本曲线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长期边际成本函数和长期边际成本曲线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（六）</w:t>
      </w:r>
      <w:r>
        <w:rPr>
          <w:rFonts w:hint="eastAsia" w:ascii="仿宋_GB2312" w:hAnsi="仿宋_GB2312" w:eastAsia="仿宋_GB2312" w:cs="仿宋_GB2312"/>
          <w:b w:val="0"/>
          <w:bCs w:val="0"/>
          <w:sz w:val="24"/>
          <w:szCs w:val="24"/>
        </w:rPr>
        <w:t>完全竞争市场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1．厂商和市场的类型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完全竞争厂商的需求曲线和收益曲线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厂商实现利润最大化的均衡条件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完全竞争市场的条件</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完全竞争厂商的需求曲线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完全竞争厂商的收益曲线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厂商实现利润最大化的均衡条件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完全竞争厂商的短期均衡和短期供给曲线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完全竞争行业的短期供给曲线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全竞争厂商的短期均衡</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完全竞争厂商的短期供给曲线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生产者剩余</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完全竞争行业的短期供给曲线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完全竞争厂商的长期均衡</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完全竞争行业的长期供给曲线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厂商对最优生产规模的选择</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厂商进出一个行业</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成本不变行业的长期供给曲线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成本递增行业的长期供给曲线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成本递减行业的长期供给曲线</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（七）</w:t>
      </w:r>
      <w:r>
        <w:rPr>
          <w:rFonts w:hint="eastAsia" w:ascii="仿宋_GB2312" w:hAnsi="仿宋_GB2312" w:eastAsia="仿宋_GB2312" w:cs="仿宋_GB2312"/>
          <w:b w:val="0"/>
          <w:bCs w:val="0"/>
          <w:sz w:val="24"/>
          <w:szCs w:val="24"/>
        </w:rPr>
        <w:t>不完全竞争市场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垄断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垄断市场的条件</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垄断厂商的需求曲线和收益曲线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垄断厂商的短期均衡</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垄断厂商的供给曲线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垄断厂商的长期均衡</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价格歧视</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自然垄断和政府管制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垄断竞争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垄断竞争市场的条件</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垄断竞争厂商的需求曲线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垄断竞争厂商的短期均衡</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垄断竞争厂商的长期均衡</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垄断竞争与理想的产量</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非价格竞争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寡头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寡头市场的特征</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古诺模型</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斯威齐模型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不同市场的比较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（八）</w:t>
      </w:r>
      <w:r>
        <w:rPr>
          <w:rFonts w:hint="eastAsia" w:ascii="仿宋_GB2312" w:hAnsi="仿宋_GB2312" w:eastAsia="仿宋_GB2312" w:cs="仿宋_GB2312"/>
          <w:b w:val="0"/>
          <w:bCs w:val="0"/>
          <w:sz w:val="24"/>
          <w:szCs w:val="24"/>
        </w:rPr>
        <w:t>生产要素价格的决定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劳动供给曲线和工资率的决定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劳动和闲暇</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劳动供给曲线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替代效应和收入效应</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劳动的市场供给曲线和均衡工资的决定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土地的供给曲线和地租的决定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土地、土地供给和土地价格</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土地的供给曲线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使用土地的价格和地租的决定</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租金、准租金和经济租金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资本的供给曲线和利息的决定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资本和利息</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资本的供给</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资本市场的均衡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洛伦兹曲线和基尼系数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（九）</w:t>
      </w:r>
      <w:r>
        <w:rPr>
          <w:rFonts w:hint="eastAsia" w:ascii="仿宋_GB2312" w:hAnsi="仿宋_GB2312" w:eastAsia="仿宋_GB2312" w:cs="仿宋_GB2312"/>
          <w:b w:val="0"/>
          <w:bCs w:val="0"/>
          <w:sz w:val="24"/>
          <w:szCs w:val="24"/>
        </w:rPr>
        <w:t>一般均衡论和福利经济学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一般均衡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局部均衡和一般均衡</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一般均衡的存在性</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实现一般均衡的“试探过程”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经济效率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实证经济学和规范经济学</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判断经济效率的标准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完全竞争和帕累托最优状态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交换的最优条件</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生产的最优条件</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生产和交换的最优条件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社会福利函数</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效率与公平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效用可能性曲线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社会福利函数</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不可能定理</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效率和公平的矛盾</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“效率优先”和“兼顾公平”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（十）</w:t>
      </w:r>
      <w:r>
        <w:rPr>
          <w:rFonts w:hint="eastAsia" w:ascii="仿宋_GB2312" w:hAnsi="仿宋_GB2312" w:eastAsia="仿宋_GB2312" w:cs="仿宋_GB2312"/>
          <w:b w:val="0"/>
          <w:bCs w:val="0"/>
          <w:sz w:val="24"/>
          <w:szCs w:val="24"/>
        </w:rPr>
        <w:t>博弈论初步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博弈论和策略行为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同时博弈：纯策略均衡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寡头博弈</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支付矩阵</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条件策略和条件策略组合</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纳什均衡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同时博弈：混合策略均衡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不存在纯策略均衡时的混合策略均衡</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存在纯策略均衡时的混合策略均衡</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混合策略博弈的一般理论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（十一）</w:t>
      </w:r>
      <w:r>
        <w:rPr>
          <w:rFonts w:hint="eastAsia" w:ascii="仿宋_GB2312" w:hAnsi="仿宋_GB2312" w:eastAsia="仿宋_GB2312" w:cs="仿宋_GB2312"/>
          <w:b w:val="0"/>
          <w:bCs w:val="0"/>
          <w:sz w:val="24"/>
          <w:szCs w:val="24"/>
        </w:rPr>
        <w:t>市场失灵和微观经济政策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垄断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垄断与低效率</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寻租理论</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对垄断的公共管制</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反托拉斯法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外部影响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外部影响及其分类</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外部影响和资源配置失当</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有关外部影响的政策</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科斯定理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公共物品和公共资源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排他性与竞用性</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公共物品</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公共资源</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公共选择理论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信息的不完全和不对称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val="0"/>
          <w:bCs w:val="0"/>
          <w:sz w:val="24"/>
          <w:szCs w:val="24"/>
        </w:rPr>
        <w:t>信息、信息的不完全和不对称</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信息与商品市场</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信息与保险市场</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信息与劳动市场</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信息不完全和激励机制：委托－代理问题</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信誉和信息调控</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b/>
          <w:sz w:val="24"/>
          <w:szCs w:val="24"/>
        </w:rPr>
      </w:pPr>
      <w:r>
        <w:rPr>
          <w:rFonts w:hint="eastAsia" w:ascii="黑体" w:hAnsi="黑体" w:eastAsia="黑体" w:cs="黑体"/>
          <w:b/>
          <w:sz w:val="24"/>
          <w:szCs w:val="24"/>
        </w:rPr>
        <w:t>二、</w:t>
      </w:r>
      <w:r>
        <w:rPr>
          <w:rFonts w:hint="eastAsia" w:ascii="黑体" w:hAnsi="黑体" w:eastAsia="黑体" w:cs="黑体"/>
          <w:b/>
          <w:sz w:val="24"/>
          <w:szCs w:val="24"/>
          <w:lang w:eastAsia="zh-CN"/>
        </w:rPr>
        <w:t>宏观经济学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Style w:val="9"/>
          <w:rFonts w:hint="eastAsia" w:ascii="仿宋_GB2312" w:hAnsi="仿宋_GB2312" w:eastAsia="仿宋_GB2312" w:cs="仿宋_GB2312"/>
          <w:b w:val="0"/>
          <w:bCs w:val="0"/>
          <w:sz w:val="24"/>
          <w:szCs w:val="24"/>
        </w:rPr>
      </w:pPr>
      <w:r>
        <w:rPr>
          <w:rStyle w:val="9"/>
          <w:rFonts w:hint="eastAsia" w:ascii="仿宋_GB2312" w:hAnsi="仿宋_GB2312" w:eastAsia="仿宋_GB2312" w:cs="仿宋_GB2312"/>
          <w:b w:val="0"/>
          <w:bCs w:val="0"/>
          <w:sz w:val="24"/>
          <w:szCs w:val="24"/>
          <w:lang w:eastAsia="zh-CN"/>
        </w:rPr>
        <w:t>（一）</w:t>
      </w:r>
      <w:r>
        <w:rPr>
          <w:rStyle w:val="9"/>
          <w:rFonts w:hint="eastAsia" w:ascii="仿宋_GB2312" w:hAnsi="仿宋_GB2312" w:eastAsia="仿宋_GB2312" w:cs="仿宋_GB2312"/>
          <w:b w:val="0"/>
          <w:bCs w:val="0"/>
          <w:sz w:val="24"/>
          <w:szCs w:val="24"/>
          <w:lang w:val="zh-CN"/>
        </w:rPr>
        <w:t>国民经济核算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Style w:val="9"/>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宏观经济学的特点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宏观经济学的研究对象</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宏观经济学和微观经济学的异同</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宏观经济学的加总法</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宏观经济学鸟瞰和本书宏观部分的章节安排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国内生产总值</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核算国民收入的两种方法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GDP的含义</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认识总产出等于总收入对于核算GDP的意义</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用支出法核算GDP</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用收入法核算GDP</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从国内生产总值到个人可支配收入</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国民收入的基本公式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两部门经济的收入构成及储蓄—投资恒等式</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三部门经济的收入构成及储蓄—投资恒等式</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四部门经济的收入构成及储蓄—投资恒等式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名义GDP和实际GDP</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名义GDP与实际GDP的概念</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GDP平减指数</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0" w:leftChars="200"/>
        <w:jc w:val="both"/>
        <w:textAlignment w:val="auto"/>
        <w:rPr>
          <w:rStyle w:val="9"/>
          <w:rFonts w:hint="eastAsia" w:ascii="仿宋_GB2312" w:hAnsi="仿宋_GB2312" w:eastAsia="仿宋_GB2312" w:cs="仿宋_GB2312"/>
          <w:b w:val="0"/>
          <w:bCs w:val="0"/>
          <w:sz w:val="24"/>
          <w:szCs w:val="24"/>
          <w:lang w:val="zh-CN"/>
        </w:rPr>
      </w:pPr>
      <w:r>
        <w:rPr>
          <w:rStyle w:val="9"/>
          <w:rFonts w:hint="eastAsia" w:ascii="仿宋_GB2312" w:hAnsi="仿宋_GB2312" w:eastAsia="仿宋_GB2312" w:cs="仿宋_GB2312"/>
          <w:b w:val="0"/>
          <w:bCs w:val="0"/>
          <w:sz w:val="24"/>
          <w:szCs w:val="24"/>
          <w:lang w:val="zh-CN"/>
        </w:rPr>
        <w:t>简单国民收入的决定理论</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均衡的产出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几个假定</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均衡产出的概念</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均衡的条件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凯恩斯的消费理论</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其他消费函数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消费函数</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储蓄函数</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消费函数和储蓄函数的关系</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社会消费函数</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相对收入假说</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生命周期理论</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永久收入假说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经济中国民收入的决定</w:t>
      </w:r>
      <w:r>
        <w:rPr>
          <w:rFonts w:hint="eastAsia" w:ascii="仿宋_GB2312" w:hAnsi="仿宋_GB2312" w:eastAsia="仿宋_GB2312" w:cs="仿宋_GB2312"/>
          <w:b w:val="0"/>
          <w:bCs w:val="0"/>
          <w:sz w:val="24"/>
          <w:szCs w:val="24"/>
          <w:lang w:eastAsia="zh-CN"/>
        </w:rPr>
        <w:t>、乘数论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两部门经济中收入的决定收入</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三部门经济中国民收入的决定</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四部门经济中国民收入的决定</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乘数论</w:t>
      </w:r>
    </w:p>
    <w:p>
      <w:pPr>
        <w:keepNext w:val="0"/>
        <w:keepLines w:val="0"/>
        <w:pageBreakBefore w:val="0"/>
        <w:widowControl w:val="0"/>
        <w:kinsoku/>
        <w:wordWrap/>
        <w:overflowPunct/>
        <w:topLinePunct w:val="0"/>
        <w:autoSpaceDE/>
        <w:autoSpaceDN/>
        <w:bidi w:val="0"/>
        <w:adjustRightInd/>
        <w:snapToGrid/>
        <w:spacing w:line="440" w:lineRule="exact"/>
        <w:ind w:left="420" w:leftChars="200"/>
        <w:jc w:val="both"/>
        <w:textAlignment w:val="auto"/>
        <w:rPr>
          <w:rStyle w:val="9"/>
          <w:rFonts w:hint="eastAsia" w:ascii="仿宋_GB2312" w:hAnsi="仿宋_GB2312" w:eastAsia="仿宋_GB2312" w:cs="仿宋_GB2312"/>
          <w:b w:val="0"/>
          <w:bCs w:val="0"/>
          <w:sz w:val="24"/>
          <w:szCs w:val="24"/>
        </w:rPr>
      </w:pPr>
      <w:r>
        <w:rPr>
          <w:rStyle w:val="9"/>
          <w:rFonts w:hint="eastAsia" w:ascii="仿宋_GB2312" w:hAnsi="仿宋_GB2312" w:eastAsia="仿宋_GB2312" w:cs="仿宋_GB2312"/>
          <w:b w:val="0"/>
          <w:bCs w:val="0"/>
          <w:sz w:val="24"/>
          <w:szCs w:val="24"/>
          <w:lang w:eastAsia="zh-CN"/>
        </w:rPr>
        <w:t>（三）</w:t>
      </w:r>
      <w:r>
        <w:rPr>
          <w:rStyle w:val="9"/>
          <w:rFonts w:hint="eastAsia" w:ascii="仿宋_GB2312" w:hAnsi="仿宋_GB2312" w:eastAsia="仿宋_GB2312" w:cs="仿宋_GB2312"/>
          <w:b w:val="0"/>
          <w:bCs w:val="0"/>
          <w:sz w:val="24"/>
          <w:szCs w:val="24"/>
          <w:lang w:val="zh-CN"/>
        </w:rPr>
        <w:t>产品市场和货币市场的一般均衡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Style w:val="9"/>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投资的决定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实际利率与投资</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资本边际效率的意义</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资本边际效率曲线与投资边际效率曲线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预期收益与投资</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风险与投资</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托宾的“q”说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IS曲线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IS曲线及其推导</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IS曲线的斜率</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IS曲线的移动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利率的决定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利率决定于货币的需求和供给</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流动性偏好与货币需求动机</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流动偏好陷阱</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货币需求函数</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货币供求均衡和利率的决定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LM曲线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LM曲线及其推导</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LM曲线的斜率</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LM曲线的移动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5.</w:t>
      </w:r>
      <w:r>
        <w:rPr>
          <w:rFonts w:hint="eastAsia" w:ascii="仿宋_GB2312" w:hAnsi="仿宋_GB2312" w:eastAsia="仿宋_GB2312" w:cs="仿宋_GB2312"/>
          <w:b w:val="0"/>
          <w:bCs w:val="0"/>
          <w:sz w:val="24"/>
          <w:szCs w:val="24"/>
        </w:rPr>
        <w:t>IS-LM分析</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凯恩斯的基本理论框架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两个市场同时均衡的利率和收入</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均衡收入和利率的变动</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凯恩斯的基本理论框架</w:t>
      </w:r>
    </w:p>
    <w:p>
      <w:pPr>
        <w:keepNext w:val="0"/>
        <w:keepLines w:val="0"/>
        <w:pageBreakBefore w:val="0"/>
        <w:widowControl w:val="0"/>
        <w:kinsoku/>
        <w:wordWrap/>
        <w:overflowPunct/>
        <w:topLinePunct w:val="0"/>
        <w:autoSpaceDE/>
        <w:autoSpaceDN/>
        <w:bidi w:val="0"/>
        <w:adjustRightInd/>
        <w:snapToGrid/>
        <w:spacing w:line="440" w:lineRule="exact"/>
        <w:ind w:left="420" w:leftChars="200"/>
        <w:jc w:val="both"/>
        <w:textAlignment w:val="auto"/>
        <w:rPr>
          <w:rStyle w:val="9"/>
          <w:rFonts w:hint="eastAsia" w:ascii="仿宋_GB2312" w:hAnsi="仿宋_GB2312" w:eastAsia="仿宋_GB2312" w:cs="仿宋_GB2312"/>
          <w:b w:val="0"/>
          <w:bCs w:val="0"/>
          <w:sz w:val="24"/>
          <w:szCs w:val="24"/>
        </w:rPr>
      </w:pPr>
      <w:r>
        <w:rPr>
          <w:rStyle w:val="9"/>
          <w:rFonts w:hint="eastAsia" w:ascii="仿宋_GB2312" w:hAnsi="仿宋_GB2312" w:eastAsia="仿宋_GB2312" w:cs="仿宋_GB2312"/>
          <w:b w:val="0"/>
          <w:bCs w:val="0"/>
          <w:sz w:val="24"/>
          <w:szCs w:val="24"/>
          <w:lang w:eastAsia="zh-CN"/>
        </w:rPr>
        <w:t>（四）</w:t>
      </w:r>
      <w:r>
        <w:rPr>
          <w:rStyle w:val="9"/>
          <w:rFonts w:hint="eastAsia" w:ascii="仿宋_GB2312" w:hAnsi="仿宋_GB2312" w:eastAsia="仿宋_GB2312" w:cs="仿宋_GB2312"/>
          <w:b w:val="0"/>
          <w:bCs w:val="0"/>
          <w:sz w:val="24"/>
          <w:szCs w:val="24"/>
        </w:rPr>
        <w:t>宏观经济政策分析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Style w:val="9"/>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财政政策和货币政策的影响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财政政策和货币政策的定义</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财政政策和货币政策的影响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财政政策效果</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货币政策效果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财政政策效果的IS-LM图形分析</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凯恩斯主义的极端情况</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挤出效应</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货币政策效果的IS-LM图形分析</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古典主义的极端情况</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货币政策的局限性</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color w:val="000000"/>
          <w:sz w:val="24"/>
          <w:szCs w:val="24"/>
        </w:rPr>
        <w:t>两种政策的混合使用</w:t>
      </w:r>
    </w:p>
    <w:p>
      <w:pPr>
        <w:keepNext w:val="0"/>
        <w:keepLines w:val="0"/>
        <w:pageBreakBefore w:val="0"/>
        <w:widowControl w:val="0"/>
        <w:kinsoku/>
        <w:wordWrap/>
        <w:overflowPunct/>
        <w:topLinePunct w:val="0"/>
        <w:autoSpaceDE/>
        <w:autoSpaceDN/>
        <w:bidi w:val="0"/>
        <w:adjustRightInd/>
        <w:snapToGrid/>
        <w:spacing w:line="440" w:lineRule="exact"/>
        <w:ind w:left="420" w:leftChars="200"/>
        <w:jc w:val="both"/>
        <w:textAlignment w:val="auto"/>
        <w:rPr>
          <w:rStyle w:val="9"/>
          <w:rFonts w:hint="eastAsia" w:ascii="仿宋_GB2312" w:hAnsi="仿宋_GB2312" w:eastAsia="仿宋_GB2312" w:cs="仿宋_GB2312"/>
          <w:b w:val="0"/>
          <w:bCs w:val="0"/>
          <w:sz w:val="24"/>
          <w:szCs w:val="24"/>
        </w:rPr>
      </w:pPr>
      <w:r>
        <w:rPr>
          <w:rStyle w:val="9"/>
          <w:rFonts w:hint="eastAsia" w:ascii="仿宋_GB2312" w:hAnsi="仿宋_GB2312" w:eastAsia="仿宋_GB2312" w:cs="仿宋_GB2312"/>
          <w:b w:val="0"/>
          <w:bCs w:val="0"/>
          <w:sz w:val="24"/>
          <w:szCs w:val="24"/>
          <w:lang w:eastAsia="zh-CN"/>
        </w:rPr>
        <w:t>（五）</w:t>
      </w:r>
      <w:r>
        <w:rPr>
          <w:rStyle w:val="9"/>
          <w:rFonts w:hint="eastAsia" w:ascii="仿宋_GB2312" w:hAnsi="仿宋_GB2312" w:eastAsia="仿宋_GB2312" w:cs="仿宋_GB2312"/>
          <w:b w:val="0"/>
          <w:bCs w:val="0"/>
          <w:sz w:val="24"/>
          <w:szCs w:val="24"/>
        </w:rPr>
        <w:t>宏观经济政策实践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color w:val="000000"/>
          <w:sz w:val="24"/>
          <w:szCs w:val="24"/>
        </w:rPr>
        <w:t>经济政策目标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财政政策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财政的构成与财政政策工具</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自动稳定与斟酌使用</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功能财政和预算盈余</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充分就业预算盈余与财政政策方向</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赤字与公债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货币政策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商业银行和中央银行</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存款创造和货币供给</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债券价格与市场利息率的关系</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货币政策及其工具</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货币政策起作用的其他途径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宏观经济政策及理论的演变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凯恩斯革命</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非凯恩斯主义流派</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新凯恩斯主义</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jc w:val="both"/>
        <w:textAlignment w:val="auto"/>
        <w:rPr>
          <w:rStyle w:val="9"/>
          <w:rFonts w:hint="eastAsia" w:ascii="仿宋_GB2312" w:hAnsi="仿宋_GB2312" w:eastAsia="仿宋_GB2312" w:cs="仿宋_GB2312"/>
          <w:b w:val="0"/>
          <w:bCs w:val="0"/>
          <w:sz w:val="24"/>
          <w:szCs w:val="24"/>
        </w:rPr>
      </w:pPr>
      <w:r>
        <w:rPr>
          <w:rStyle w:val="9"/>
          <w:rFonts w:hint="eastAsia" w:ascii="仿宋_GB2312" w:hAnsi="仿宋_GB2312" w:eastAsia="仿宋_GB2312" w:cs="仿宋_GB2312"/>
          <w:b w:val="0"/>
          <w:bCs w:val="0"/>
          <w:sz w:val="24"/>
          <w:szCs w:val="24"/>
          <w:lang w:eastAsia="zh-CN"/>
        </w:rPr>
        <w:t>（六）</w:t>
      </w:r>
      <w:r>
        <w:rPr>
          <w:rStyle w:val="9"/>
          <w:rFonts w:hint="eastAsia" w:ascii="仿宋_GB2312" w:hAnsi="仿宋_GB2312" w:eastAsia="仿宋_GB2312" w:cs="仿宋_GB2312"/>
          <w:b w:val="0"/>
          <w:bCs w:val="0"/>
          <w:sz w:val="24"/>
          <w:szCs w:val="24"/>
        </w:rPr>
        <w:t>总需求-总供给模型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Style w:val="9"/>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总需求曲线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总供给的一般说明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短期与长期宏观生产函数</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劳动市场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长期和短期在国民收入决定中的特殊含义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4.三条总供给曲线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古典总供给曲线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凯恩斯总供给曲线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常规总供给曲线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5.</w:t>
      </w:r>
      <w:r>
        <w:rPr>
          <w:rFonts w:hint="eastAsia" w:ascii="仿宋_GB2312" w:hAnsi="仿宋_GB2312" w:eastAsia="仿宋_GB2312" w:cs="仿宋_GB2312"/>
          <w:b w:val="0"/>
          <w:bCs w:val="0"/>
          <w:sz w:val="24"/>
          <w:szCs w:val="24"/>
        </w:rPr>
        <w:t>总需求和总供给模型对现实的解释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宏观经济的短期目标</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总需求曲线移动的后果</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总供给曲线移动的后果</w:t>
      </w:r>
    </w:p>
    <w:p>
      <w:pPr>
        <w:keepNext w:val="0"/>
        <w:keepLines w:val="0"/>
        <w:pageBreakBefore w:val="0"/>
        <w:widowControl w:val="0"/>
        <w:kinsoku/>
        <w:wordWrap/>
        <w:overflowPunct/>
        <w:topLinePunct w:val="0"/>
        <w:autoSpaceDE/>
        <w:autoSpaceDN/>
        <w:bidi w:val="0"/>
        <w:adjustRightInd/>
        <w:snapToGrid/>
        <w:spacing w:line="440" w:lineRule="exact"/>
        <w:ind w:left="420" w:leftChars="200"/>
        <w:jc w:val="both"/>
        <w:textAlignment w:val="auto"/>
        <w:rPr>
          <w:rStyle w:val="9"/>
          <w:rFonts w:hint="eastAsia" w:ascii="仿宋_GB2312" w:hAnsi="仿宋_GB2312" w:eastAsia="仿宋_GB2312" w:cs="仿宋_GB2312"/>
          <w:b w:val="0"/>
          <w:bCs w:val="0"/>
          <w:sz w:val="24"/>
          <w:szCs w:val="24"/>
        </w:rPr>
      </w:pPr>
      <w:r>
        <w:rPr>
          <w:rStyle w:val="9"/>
          <w:rFonts w:hint="eastAsia" w:ascii="仿宋_GB2312" w:hAnsi="仿宋_GB2312" w:eastAsia="仿宋_GB2312" w:cs="仿宋_GB2312"/>
          <w:b w:val="0"/>
          <w:bCs w:val="0"/>
          <w:sz w:val="24"/>
          <w:szCs w:val="24"/>
          <w:lang w:eastAsia="zh-CN"/>
        </w:rPr>
        <w:t>（七）</w:t>
      </w:r>
      <w:r>
        <w:rPr>
          <w:rStyle w:val="9"/>
          <w:rFonts w:hint="eastAsia" w:ascii="仿宋_GB2312" w:hAnsi="仿宋_GB2312" w:eastAsia="仿宋_GB2312" w:cs="仿宋_GB2312"/>
          <w:b w:val="0"/>
          <w:bCs w:val="0"/>
          <w:sz w:val="24"/>
          <w:szCs w:val="24"/>
        </w:rPr>
        <w:t>失业与通货膨胀</w:t>
      </w:r>
    </w:p>
    <w:p>
      <w:pPr>
        <w:pStyle w:val="1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Style w:val="9"/>
          <w:rFonts w:hint="eastAsia" w:ascii="仿宋_GB2312" w:hAnsi="仿宋_GB2312" w:eastAsia="仿宋_GB2312" w:cs="仿宋_GB2312"/>
          <w:b w:val="0"/>
          <w:bCs w:val="0"/>
          <w:sz w:val="24"/>
          <w:szCs w:val="24"/>
          <w:lang w:val="en-US" w:eastAsia="zh-CN"/>
        </w:rPr>
      </w:pPr>
      <w:r>
        <w:rPr>
          <w:rStyle w:val="9"/>
          <w:rFonts w:hint="eastAsia" w:ascii="仿宋_GB2312" w:hAnsi="仿宋_GB2312" w:eastAsia="仿宋_GB2312" w:cs="仿宋_GB2312"/>
          <w:b w:val="0"/>
          <w:bCs w:val="0"/>
          <w:sz w:val="24"/>
          <w:szCs w:val="24"/>
          <w:lang w:val="en-US" w:eastAsia="zh-CN"/>
        </w:rPr>
        <w:t>1.失业</w:t>
      </w:r>
    </w:p>
    <w:p>
      <w:pPr>
        <w:pStyle w:val="1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失业的描述</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失业的经济学解释</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失业的影响</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奥肯定律</w:t>
      </w:r>
    </w:p>
    <w:p>
      <w:pPr>
        <w:pStyle w:val="1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通货膨胀的描述</w:t>
      </w:r>
    </w:p>
    <w:p>
      <w:pPr>
        <w:pStyle w:val="1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通货膨胀的数据</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通货膨胀的衡量</w:t>
      </w:r>
      <w:r>
        <w:rPr>
          <w:rFonts w:hint="eastAsia" w:ascii="仿宋_GB2312" w:hAnsi="仿宋_GB2312" w:eastAsia="仿宋_GB2312" w:cs="仿宋_GB2312"/>
          <w:b w:val="0"/>
          <w:bCs w:val="0"/>
          <w:sz w:val="24"/>
          <w:szCs w:val="24"/>
          <w:lang w:eastAsia="zh-CN"/>
        </w:rPr>
        <w:t>、</w:t>
      </w:r>
      <w:bookmarkStart w:id="0" w:name="_Hlt119165661"/>
      <w:bookmarkStart w:id="1" w:name="_Hlt119165662"/>
      <w:r>
        <w:rPr>
          <w:rFonts w:hint="eastAsia" w:ascii="仿宋_GB2312" w:hAnsi="仿宋_GB2312" w:eastAsia="仿宋_GB2312" w:cs="仿宋_GB2312"/>
          <w:b w:val="0"/>
          <w:bCs w:val="0"/>
          <w:sz w:val="24"/>
          <w:szCs w:val="24"/>
        </w:rPr>
        <w:t>通货膨胀的分类</w:t>
      </w:r>
      <w:bookmarkEnd w:id="0"/>
      <w:bookmarkEnd w:id="1"/>
    </w:p>
    <w:p>
      <w:pPr>
        <w:pStyle w:val="1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通货膨胀的原因</w:t>
      </w:r>
      <w:r>
        <w:rPr>
          <w:rFonts w:hint="eastAsia" w:ascii="仿宋_GB2312" w:hAnsi="仿宋_GB2312" w:eastAsia="仿宋_GB2312" w:cs="仿宋_GB2312"/>
          <w:b w:val="0"/>
          <w:bCs w:val="0"/>
          <w:sz w:val="24"/>
          <w:szCs w:val="24"/>
          <w:lang w:eastAsia="zh-CN"/>
        </w:rPr>
        <w:t>、经济效应</w:t>
      </w:r>
    </w:p>
    <w:p>
      <w:pPr>
        <w:pStyle w:val="1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作为货币现象的通货膨胀</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需求拉动通货膨胀</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成本推动通货膨胀</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结构性通货膨胀</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通货膨胀的持续</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通货膨胀的再分配效应</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通货膨胀的产出效应</w:t>
      </w:r>
    </w:p>
    <w:p>
      <w:pPr>
        <w:pStyle w:val="1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失业与通货膨胀的关系—菲利普斯曲线</w:t>
      </w:r>
    </w:p>
    <w:p>
      <w:pPr>
        <w:pStyle w:val="1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菲利普斯曲线的提出</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菲利普斯曲线的政策含义</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附加预期的菲利普斯曲线</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长期菲利普斯曲线</w:t>
      </w:r>
    </w:p>
    <w:p>
      <w:pPr>
        <w:keepNext w:val="0"/>
        <w:keepLines w:val="0"/>
        <w:pageBreakBefore w:val="0"/>
        <w:widowControl w:val="0"/>
        <w:kinsoku/>
        <w:wordWrap/>
        <w:overflowPunct/>
        <w:topLinePunct w:val="0"/>
        <w:autoSpaceDE/>
        <w:autoSpaceDN/>
        <w:bidi w:val="0"/>
        <w:adjustRightInd/>
        <w:snapToGrid/>
        <w:spacing w:line="440" w:lineRule="exact"/>
        <w:ind w:left="420" w:leftChars="200"/>
        <w:jc w:val="both"/>
        <w:textAlignment w:val="auto"/>
        <w:rPr>
          <w:rStyle w:val="9"/>
          <w:rFonts w:hint="eastAsia" w:ascii="仿宋_GB2312" w:hAnsi="仿宋_GB2312" w:eastAsia="仿宋_GB2312" w:cs="仿宋_GB2312"/>
          <w:b w:val="0"/>
          <w:bCs w:val="0"/>
          <w:sz w:val="24"/>
          <w:szCs w:val="24"/>
        </w:rPr>
      </w:pPr>
      <w:r>
        <w:rPr>
          <w:rStyle w:val="9"/>
          <w:rFonts w:hint="eastAsia" w:ascii="仿宋_GB2312" w:hAnsi="仿宋_GB2312" w:eastAsia="仿宋_GB2312" w:cs="仿宋_GB2312"/>
          <w:b w:val="0"/>
          <w:bCs w:val="0"/>
          <w:sz w:val="24"/>
          <w:szCs w:val="24"/>
          <w:lang w:eastAsia="zh-CN"/>
        </w:rPr>
        <w:t>（八）</w:t>
      </w:r>
      <w:r>
        <w:rPr>
          <w:rStyle w:val="9"/>
          <w:rFonts w:hint="eastAsia" w:ascii="仿宋_GB2312" w:hAnsi="仿宋_GB2312" w:eastAsia="仿宋_GB2312" w:cs="仿宋_GB2312"/>
          <w:b w:val="0"/>
          <w:bCs w:val="0"/>
          <w:sz w:val="24"/>
          <w:szCs w:val="24"/>
        </w:rPr>
        <w:t>经济增长和经济周期理论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经济增长的描述和事实</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经济增长和经济发展</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经济增长和发展的一些事实</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经济增长的基本问题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增长核算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经济增长的决定因素</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增长核算方程</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增长的经验估算</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经济增长因素分析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新古典增长理论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基本假定和思路</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没有技术进步的新古典增长模型</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具有技术进步的新古典增长模型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内生增长理论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基本模型</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两部门模型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5.</w:t>
      </w:r>
      <w:r>
        <w:rPr>
          <w:rFonts w:hint="eastAsia" w:ascii="仿宋_GB2312" w:hAnsi="仿宋_GB2312" w:eastAsia="仿宋_GB2312" w:cs="仿宋_GB2312"/>
          <w:b w:val="0"/>
          <w:bCs w:val="0"/>
          <w:sz w:val="24"/>
          <w:szCs w:val="24"/>
        </w:rPr>
        <w:t>促进经济增长政策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鼓励技术进步</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鼓励资本形成</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增加劳动供给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6.</w:t>
      </w:r>
      <w:r>
        <w:rPr>
          <w:rFonts w:hint="eastAsia" w:ascii="仿宋_GB2312" w:hAnsi="仿宋_GB2312" w:eastAsia="仿宋_GB2312" w:cs="仿宋_GB2312"/>
          <w:b w:val="0"/>
          <w:bCs w:val="0"/>
          <w:sz w:val="24"/>
          <w:szCs w:val="24"/>
        </w:rPr>
        <w:t>经济周期的含义和特征</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经济周期理论的简要回顾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经济周期的含义</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经济周期的特征</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第二世界大战前的经济周期研究</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第二世界大战后的经济周期理论概述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7.</w:t>
      </w:r>
      <w:r>
        <w:rPr>
          <w:rFonts w:hint="eastAsia" w:ascii="仿宋_GB2312" w:hAnsi="仿宋_GB2312" w:eastAsia="仿宋_GB2312" w:cs="仿宋_GB2312"/>
          <w:b w:val="0"/>
          <w:bCs w:val="0"/>
          <w:sz w:val="24"/>
          <w:szCs w:val="24"/>
        </w:rPr>
        <w:t>乘数－加速数模型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加速原理</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乘数－加速数模型的基本思想</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乘数－加速数模型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8.</w:t>
      </w:r>
      <w:r>
        <w:rPr>
          <w:rFonts w:hint="eastAsia" w:ascii="仿宋_GB2312" w:hAnsi="仿宋_GB2312" w:eastAsia="仿宋_GB2312" w:cs="仿宋_GB2312"/>
          <w:b w:val="0"/>
          <w:bCs w:val="0"/>
          <w:sz w:val="24"/>
          <w:szCs w:val="24"/>
        </w:rPr>
        <w:t>实际经济周期理论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val="0"/>
          <w:bCs w:val="0"/>
          <w:sz w:val="24"/>
          <w:szCs w:val="24"/>
        </w:rPr>
        <w:t>作为波动源的技术冲击</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基本理论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b/>
          <w:sz w:val="24"/>
          <w:szCs w:val="24"/>
        </w:rPr>
      </w:pPr>
      <w:r>
        <w:rPr>
          <w:rFonts w:hint="eastAsia" w:ascii="黑体" w:hAnsi="黑体" w:eastAsia="黑体" w:cs="黑体"/>
          <w:b/>
          <w:sz w:val="24"/>
          <w:szCs w:val="24"/>
        </w:rPr>
        <w:t>三、</w:t>
      </w:r>
      <w:r>
        <w:rPr>
          <w:rFonts w:hint="eastAsia" w:ascii="黑体" w:hAnsi="黑体" w:eastAsia="黑体" w:cs="黑体"/>
          <w:b/>
          <w:sz w:val="24"/>
          <w:szCs w:val="24"/>
          <w:lang w:eastAsia="zh-CN"/>
        </w:rPr>
        <w:t>中央一号文件和中央经济工作会议精神</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　　（一）</w:t>
      </w:r>
      <w:r>
        <w:rPr>
          <w:rFonts w:hint="eastAsia" w:ascii="仿宋_GB2312" w:hAnsi="仿宋_GB2312" w:eastAsia="仿宋_GB2312" w:cs="仿宋_GB2312"/>
          <w:sz w:val="24"/>
          <w:szCs w:val="24"/>
          <w:lang w:eastAsia="zh-CN"/>
        </w:rPr>
        <w:t>近五年中央一号文件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（二）</w:t>
      </w:r>
      <w:r>
        <w:rPr>
          <w:rFonts w:hint="eastAsia" w:ascii="仿宋_GB2312" w:hAnsi="仿宋_GB2312" w:eastAsia="仿宋_GB2312" w:cs="仿宋_GB2312"/>
          <w:sz w:val="24"/>
          <w:szCs w:val="24"/>
          <w:lang w:eastAsia="zh-CN"/>
        </w:rPr>
        <w:t>近三年中央经济工作会议精神</w:t>
      </w:r>
      <w:r>
        <w:rPr>
          <w:rFonts w:hint="eastAsia" w:ascii="仿宋_GB2312" w:hAnsi="仿宋_GB2312" w:eastAsia="仿宋_GB2312" w:cs="仿宋_GB2312"/>
          <w:sz w:val="24"/>
          <w:szCs w:val="24"/>
        </w:rPr>
        <w:t>　</w:t>
      </w:r>
    </w:p>
    <w:sectPr>
      <w:footerReference r:id="rId3" w:type="default"/>
      <w:pgSz w:w="11906" w:h="16838"/>
      <w:pgMar w:top="1418" w:right="1474" w:bottom="1417" w:left="147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3D61FB"/>
    <w:multiLevelType w:val="singleLevel"/>
    <w:tmpl w:val="B83D61FB"/>
    <w:lvl w:ilvl="0" w:tentative="0">
      <w:start w:val="2"/>
      <w:numFmt w:val="chineseCounting"/>
      <w:suff w:val="nothing"/>
      <w:lvlText w:val="（%1）"/>
      <w:lvlJc w:val="left"/>
      <w:rPr>
        <w:rFonts w:hint="eastAsia"/>
      </w:rPr>
    </w:lvl>
  </w:abstractNum>
  <w:abstractNum w:abstractNumId="1">
    <w:nsid w:val="5D80A785"/>
    <w:multiLevelType w:val="singleLevel"/>
    <w:tmpl w:val="5D80A785"/>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5"/>
  <w:drawingGridHorizontalSpacing w:val="96"/>
  <w:drawingGridVerticalSpacing w:val="323"/>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1NjYwOGZkMWViMTExNDQ0YjJkOWUzZTA5MjI0MjEifQ=="/>
  </w:docVars>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136B7C86"/>
    <w:rsid w:val="357727FC"/>
    <w:rsid w:val="6EC35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character" w:styleId="10">
    <w:name w:val="Hyperlink"/>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character" w:customStyle="1" w:styleId="13">
    <w:name w:val="apple-converted-space"/>
    <w:basedOn w:val="8"/>
    <w:qFormat/>
    <w:uiPriority w:val="0"/>
  </w:style>
  <w:style w:type="character" w:customStyle="1" w:styleId="14">
    <w:name w:val="正文文本缩进 Char"/>
    <w:link w:val="2"/>
    <w:qFormat/>
    <w:uiPriority w:val="99"/>
    <w:rPr>
      <w:rFonts w:hAnsi="宋体"/>
      <w:kern w:val="2"/>
      <w:sz w:val="26"/>
      <w:szCs w:val="32"/>
    </w:rPr>
  </w:style>
  <w:style w:type="paragraph" w:customStyle="1" w:styleId="15">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16">
    <w:name w:val="Normal (Web)"/>
    <w:basedOn w:val="1"/>
    <w:qFormat/>
    <w:uiPriority w:val="0"/>
    <w:rPr>
      <w:rFonts w:hint="eastAsi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湘潭大学研招办</Company>
  <Pages>9</Pages>
  <Words>1680</Words>
  <Characters>9580</Characters>
  <Lines>79</Lines>
  <Paragraphs>22</Paragraphs>
  <TotalTime>5</TotalTime>
  <ScaleCrop>false</ScaleCrop>
  <LinksUpToDate>false</LinksUpToDate>
  <CharactersWithSpaces>11238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2019-07-01T00:09:00Z</dcterms:created>
  <dc:creator>李丽兰</dc:creator>
  <cp:lastModifiedBy>宋江南</cp:lastModifiedBy>
  <cp:lastPrinted>2018-07-16T02:14:00Z</cp:lastPrinted>
  <dcterms:modified xsi:type="dcterms:W3CDTF">2023-09-22T03:37:31Z</dcterms:modified>
  <dc:title>关于编制2002年硕士研究生招生专业目录的通知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E8EE892024BC4E8885F232F3247BBC34_12</vt:lpwstr>
  </property>
</Properties>
</file>