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snapToGrid w:val="0"/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2915" cy="3613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napToGrid w:val="0"/>
        <w:spacing w:line="360" w:lineRule="auto"/>
        <w:ind w:right="-386" w:rightChars="-184" w:firstLine="281" w:firstLineChars="100"/>
        <w:jc w:val="left"/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考试科目：教育研究方法     </w:t>
      </w:r>
      <w:r>
        <w:rPr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  科目代码：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901</w:t>
      </w:r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</w:p>
    <w:p>
      <w:pPr>
        <w:snapToGrid w:val="0"/>
        <w:spacing w:line="360" w:lineRule="auto"/>
        <w:ind w:firstLine="211" w:firstLineChars="100"/>
        <w:outlineLvl w:val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一、 参考书目（所列参考书目仅供参考，非考试科目指定用书）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1.《</w:t>
      </w:r>
      <w:r>
        <w:rPr>
          <w:rFonts w:hint="eastAsia" w:ascii="宋体" w:hAnsi="宋体"/>
          <w:color w:val="000000"/>
          <w:sz w:val="21"/>
          <w:szCs w:val="21"/>
        </w:rPr>
        <w:t>心理与教育研究方法（第2版）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》 </w:t>
      </w:r>
      <w:r>
        <w:rPr>
          <w:rFonts w:hint="eastAsia" w:ascii="宋体" w:hAnsi="宋体"/>
          <w:color w:val="000000"/>
          <w:sz w:val="21"/>
          <w:szCs w:val="21"/>
        </w:rPr>
        <w:t>董奇著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,</w:t>
      </w:r>
      <w:r>
        <w:rPr>
          <w:rFonts w:hint="eastAsia" w:ascii="宋体" w:hAnsi="宋体"/>
          <w:color w:val="000000"/>
          <w:sz w:val="21"/>
          <w:szCs w:val="21"/>
        </w:rPr>
        <w:t xml:space="preserve"> 北京师范大学出版社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,2019年版。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 w:val="21"/>
          <w:szCs w:val="21"/>
        </w:rPr>
        <w:t>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《教育研究方法（第三版）》刘良华，华东师范大学出版社，2021年。</w:t>
      </w:r>
    </w:p>
    <w:p>
      <w:pPr>
        <w:snapToGrid w:val="0"/>
        <w:spacing w:line="360" w:lineRule="auto"/>
        <w:ind w:firstLine="211" w:firstLineChars="100"/>
        <w:rPr>
          <w:rFonts w:hint="eastAsia"/>
          <w:b/>
          <w:sz w:val="21"/>
          <w:szCs w:val="21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二、考试内容范围 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[考查目标]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1.了解教育研究的历史、现状与发展趋势，理解教育研究方法的重要术语、基本概念，掌握教育研究方法的一般原理及主要研究方法。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2.具有进行教育研究选题及研究方案设计、查阅文献资料、收集和分析研究资料、撰写研究报告和学术论文等的初步能力。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3.能够运用教育研究原理分析和评论教育研究设计、成果及典型案例。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ascii="宋体" w:hAnsi="宋体"/>
          <w:b/>
          <w:i/>
          <w:iCs/>
          <w:color w:val="000000"/>
          <w:sz w:val="21"/>
          <w:szCs w:val="21"/>
        </w:rPr>
      </w:pPr>
      <w:r>
        <w:rPr>
          <w:rFonts w:hint="eastAsia" w:ascii="宋体" w:hAnsi="宋体"/>
          <w:b/>
          <w:i/>
          <w:iCs/>
          <w:color w:val="000000"/>
          <w:sz w:val="21"/>
          <w:szCs w:val="21"/>
        </w:rPr>
        <w:t>一、教育研究概述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（一）教育研究的界说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1.教育研究的含义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2.教育研究的意义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3.教育研究的类型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4.教育研究的特殊性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（二）教育研究的历史、现状和发展趋势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1.教育研究的发展历程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2.我国教育研究的现状及问题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3.教育研究的主要发展趋势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（三）教育研究的对象及其特点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1.教育研究的对象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2.教育研究对象的特点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（四）教育研究的基本原则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1.客观性原则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2.创新性原则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3.公共性原则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4.操作性原则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5.检验性原则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6.伦理原则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7.理论联系实际原则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（五）教育研究的一般过程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1.选题阶段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2.研究设计阶段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3.搜集资料阶段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4.整理与分析资料阶段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5.撰写研究报告阶段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6.总结与评价阶段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（六）教育研究方法及其层次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1.教育研究方法的含义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2.教育研究方法的层次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七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）教育研究方法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的特点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1.教育研究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方法的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总特点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2.生态化特点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3.跨文化特点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4.计算机化特点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 w:cs="Times New Roman"/>
          <w:color w:val="000000"/>
          <w:sz w:val="21"/>
          <w:szCs w:val="21"/>
          <w:lang w:val="en-US" w:eastAsia="zh-CN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ascii="宋体" w:hAnsi="宋体"/>
          <w:b/>
          <w:i/>
          <w:iCs/>
          <w:color w:val="000000"/>
          <w:sz w:val="21"/>
          <w:szCs w:val="21"/>
        </w:rPr>
      </w:pPr>
      <w:r>
        <w:rPr>
          <w:rFonts w:hint="eastAsia" w:ascii="宋体" w:hAnsi="宋体"/>
          <w:b/>
          <w:i/>
          <w:iCs/>
          <w:color w:val="000000"/>
          <w:sz w:val="21"/>
          <w:szCs w:val="21"/>
        </w:rPr>
        <w:t>二、教育研究的选题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（一）选题的主要来源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有争议和前沿性的理论</w:t>
      </w:r>
      <w:r>
        <w:rPr>
          <w:rFonts w:hint="eastAsia" w:ascii="宋体" w:hAnsi="宋体"/>
          <w:color w:val="000000"/>
          <w:sz w:val="21"/>
          <w:szCs w:val="21"/>
        </w:rPr>
        <w:t>问题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2.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亟待解决的实践问题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3.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在写作中生成选题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二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课题选择的原则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1.需要性原则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2.创造性原则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3.科学性原则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color w:val="000000"/>
          <w:sz w:val="21"/>
          <w:szCs w:val="21"/>
        </w:rPr>
        <w:t>可行性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原则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（三）课题研究的策略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1.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社会需要与课题选择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2.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理论发展与课题选择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3.研究文献与课题选择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4.研究过程与课题选择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5.科技进展与课题选择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1"/>
          <w:szCs w:val="21"/>
          <w:lang w:val="en-US" w:eastAsia="zh-CN"/>
        </w:rPr>
        <w:t>（四）研究视角对选题的影响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1.理论视角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2.关系视角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3.时空视角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五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研究假设的提出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1.假设的特征与功能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2.假设的基本类型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3.提出假设的方法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4.评价假设的标准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color w:val="000000"/>
          <w:sz w:val="21"/>
          <w:szCs w:val="21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ascii="宋体" w:hAnsi="宋体"/>
          <w:b/>
          <w:i/>
          <w:iCs/>
          <w:color w:val="000000"/>
          <w:sz w:val="21"/>
          <w:szCs w:val="21"/>
        </w:rPr>
      </w:pPr>
      <w:r>
        <w:rPr>
          <w:rFonts w:hint="eastAsia" w:ascii="宋体" w:hAnsi="宋体"/>
          <w:b/>
          <w:i/>
          <w:iCs/>
          <w:color w:val="000000"/>
          <w:sz w:val="21"/>
          <w:szCs w:val="21"/>
          <w:lang w:val="en-US" w:eastAsia="zh-CN"/>
        </w:rPr>
        <w:t>三</w:t>
      </w:r>
      <w:r>
        <w:rPr>
          <w:rFonts w:hint="eastAsia" w:ascii="宋体" w:hAnsi="宋体"/>
          <w:b/>
          <w:i/>
          <w:iCs/>
          <w:color w:val="000000"/>
          <w:sz w:val="21"/>
          <w:szCs w:val="21"/>
        </w:rPr>
        <w:t>、教育研究的设计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（一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）研究设计的基本内容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1.明确研究目的与选择研究对象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2.选择研究方法与设计方式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3.确定研究变量与观测指标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4.选择研究工具与材料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5.制定研究程序与选择研究环境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6.考虑数据整理与统计分析方法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（二）研究设计的标准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1.研究的信度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2.研究的效度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（三）研究对象取样的设计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1.取样设计的意义与原则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2.取样的一般程序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3.取样的基本方法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4.取样误差的计算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5.样本大小的确定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（四）研究变量的确定与研究指标的设计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1.变量的基本类型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2.研究变量的选择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3.研究指标及其测量水平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4.研究指标设计的原则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（五）研究变量与指标操作定义的设计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1.操作定义及其特征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2.操作定义的作用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3.操作定义设计的原则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4.操作定义设计的方法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（六）无关变量控制方法的选择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1.无关变量的主要类型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2.无关变量的两种影响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3.无关变量的控制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default" w:ascii="宋体" w:hAnsi="宋体" w:eastAsia="宋体"/>
          <w:b/>
          <w:i/>
          <w:i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i/>
          <w:iCs/>
          <w:color w:val="000000"/>
          <w:sz w:val="21"/>
          <w:szCs w:val="21"/>
          <w:lang w:val="en-US" w:eastAsia="zh-CN"/>
        </w:rPr>
        <w:t>四</w:t>
      </w:r>
      <w:r>
        <w:rPr>
          <w:rFonts w:hint="eastAsia" w:ascii="宋体" w:hAnsi="宋体"/>
          <w:b/>
          <w:i/>
          <w:iCs/>
          <w:color w:val="000000"/>
          <w:sz w:val="21"/>
          <w:szCs w:val="21"/>
        </w:rPr>
        <w:t>、教育文献检索</w:t>
      </w:r>
      <w:r>
        <w:rPr>
          <w:rFonts w:hint="eastAsia" w:ascii="宋体" w:hAnsi="宋体"/>
          <w:b/>
          <w:i/>
          <w:iCs/>
          <w:color w:val="000000"/>
          <w:sz w:val="21"/>
          <w:szCs w:val="21"/>
          <w:lang w:val="en-US" w:eastAsia="zh-CN"/>
        </w:rPr>
        <w:t>与文献综述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）教育文献概述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1.教育文献的含义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及其类别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2.教育文献在教育研充中的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意义、</w:t>
      </w:r>
      <w:r>
        <w:rPr>
          <w:rFonts w:hint="eastAsia" w:ascii="宋体" w:hAnsi="宋体"/>
          <w:color w:val="000000"/>
          <w:sz w:val="21"/>
          <w:szCs w:val="21"/>
        </w:rPr>
        <w:t>作用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3.研究文献搜集的原则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4.研究文献搜集的渠道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5.研究文献搜集的方法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二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文献检索与开题报告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color w:val="000000"/>
          <w:sz w:val="21"/>
          <w:szCs w:val="21"/>
        </w:rPr>
        <w:t>怎样做文献检索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color w:val="000000"/>
          <w:sz w:val="21"/>
          <w:szCs w:val="21"/>
        </w:rPr>
        <w:t>如何撰写文献综述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color w:val="000000"/>
          <w:sz w:val="21"/>
          <w:szCs w:val="21"/>
        </w:rPr>
        <w:t>如何撰写开题报告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（三）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研究文献的阅读与记录方法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1.研究文献阅读的原则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2.研究文献阅读的方法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3.研究文献记录的方法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（四）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研究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文献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的综述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1.文献综述的特点与作用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2.文献综述的格式与内容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3.文献综述的基本要求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4.文献综述的步骤与方法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ascii="宋体" w:hAnsi="宋体"/>
          <w:b/>
          <w:i/>
          <w:iCs/>
          <w:color w:val="000000"/>
          <w:sz w:val="21"/>
          <w:szCs w:val="21"/>
        </w:rPr>
      </w:pPr>
      <w:r>
        <w:rPr>
          <w:rFonts w:hint="eastAsia" w:ascii="宋体" w:hAnsi="宋体"/>
          <w:b/>
          <w:i/>
          <w:iCs/>
          <w:color w:val="000000"/>
          <w:sz w:val="21"/>
          <w:szCs w:val="21"/>
          <w:lang w:val="en-US" w:eastAsia="zh-CN"/>
        </w:rPr>
        <w:t>五</w:t>
      </w:r>
      <w:r>
        <w:rPr>
          <w:rFonts w:hint="eastAsia" w:ascii="宋体" w:hAnsi="宋体"/>
          <w:b/>
          <w:i/>
          <w:iCs/>
          <w:color w:val="000000"/>
          <w:sz w:val="21"/>
          <w:szCs w:val="21"/>
        </w:rPr>
        <w:t>、教育观察研究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（一）教育观察研究概述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1.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观察法</w:t>
      </w:r>
      <w:r>
        <w:rPr>
          <w:rFonts w:hint="eastAsia" w:ascii="宋体" w:hAnsi="宋体"/>
          <w:color w:val="000000"/>
          <w:sz w:val="21"/>
          <w:szCs w:val="21"/>
        </w:rPr>
        <w:t>的含义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作用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2.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观察法的特点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（二）教育观察研究的基本类型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1自然情境中的观察与实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验</w:t>
      </w:r>
      <w:r>
        <w:rPr>
          <w:rFonts w:hint="eastAsia" w:ascii="宋体" w:hAnsi="宋体"/>
          <w:color w:val="000000"/>
          <w:sz w:val="21"/>
          <w:szCs w:val="21"/>
        </w:rPr>
        <w:t>室观察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2.直接观察与间接观察</w:t>
      </w:r>
    </w:p>
    <w:p>
      <w:pPr>
        <w:snapToGrid w:val="0"/>
        <w:spacing w:line="360" w:lineRule="auto"/>
        <w:ind w:firstLine="210" w:firstLineChars="100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3.参与式观察与非参与式观察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4.结构式观察与非结构式观察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5.叙述观察、取样观察和评价观察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 w:eastAsia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（三）教育观察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法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的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设计与策略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1.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观察法的设计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2.参与观察之策略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3.时间取样观察之策略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4.事件取样观察之策略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5.行为核查表之策略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 xml:space="preserve"> （四）观察法的评价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1.观察法的优点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2.观察法的局限性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3.比较时间取样观察与事件取样观察，并分析其优缺点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default" w:ascii="宋体" w:hAnsi="宋体"/>
          <w:b/>
          <w:i/>
          <w:i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i/>
          <w:iCs/>
          <w:color w:val="000000"/>
          <w:sz w:val="21"/>
          <w:szCs w:val="21"/>
          <w:lang w:val="en-US" w:eastAsia="zh-CN"/>
        </w:rPr>
        <w:t>六、问卷法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（一）问卷法的特点与类型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（二）问卷的设计步骤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（三）问卷法的实施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（四）问卷法的评价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eastAsia" w:ascii="宋体" w:hAnsi="宋体" w:eastAsia="宋体" w:cs="Times New Roman"/>
          <w:b/>
          <w:i/>
          <w:i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i/>
          <w:iCs/>
          <w:color w:val="000000"/>
          <w:sz w:val="21"/>
          <w:szCs w:val="21"/>
          <w:lang w:val="en-US" w:eastAsia="zh-CN"/>
        </w:rPr>
        <w:t>七、测验法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（一）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测验的含义与特征</w:t>
      </w:r>
    </w:p>
    <w:p>
      <w:pPr>
        <w:snapToGrid w:val="0"/>
        <w:spacing w:line="360" w:lineRule="auto"/>
        <w:ind w:firstLine="211" w:firstLineChars="100"/>
        <w:rPr>
          <w:rFonts w:hint="default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（二）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测验的类型</w:t>
      </w:r>
    </w:p>
    <w:p>
      <w:pPr>
        <w:snapToGrid w:val="0"/>
        <w:spacing w:line="360" w:lineRule="auto"/>
        <w:ind w:firstLine="211" w:firstLineChars="100"/>
        <w:rPr>
          <w:rFonts w:hint="default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（三）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测验的功能</w:t>
      </w:r>
    </w:p>
    <w:p>
      <w:pPr>
        <w:snapToGrid w:val="0"/>
        <w:spacing w:line="360" w:lineRule="auto"/>
        <w:ind w:firstLine="211" w:firstLineChars="100"/>
        <w:rPr>
          <w:rFonts w:hint="default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（四）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测验法的评估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eastAsia" w:ascii="宋体" w:hAnsi="宋体" w:eastAsia="宋体" w:cs="Times New Roman"/>
          <w:b/>
          <w:i/>
          <w:i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i/>
          <w:iCs/>
          <w:color w:val="000000"/>
          <w:sz w:val="21"/>
          <w:szCs w:val="21"/>
          <w:lang w:val="en-US" w:eastAsia="zh-CN"/>
        </w:rPr>
        <w:t>八、教育实验研究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（一）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基本概念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1.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教育实验研究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2.自变量、因变量、中介变量、调节变量、额外变量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3.信度、效度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4.内在效度、外在效度，及两者关系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（二）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多因素实验设计的类型及特点</w:t>
      </w:r>
    </w:p>
    <w:p>
      <w:pPr>
        <w:snapToGrid w:val="0"/>
        <w:spacing w:line="360" w:lineRule="auto"/>
        <w:ind w:firstLine="211" w:firstLineChars="100"/>
        <w:outlineLvl w:val="1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）教育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实验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研究的基本类型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）教育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实验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研究的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一般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程序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五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）教育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实验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研究的优点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、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局限性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eastAsia" w:ascii="宋体" w:hAnsi="宋体"/>
          <w:b/>
          <w:bCs w:val="0"/>
          <w:i/>
          <w:i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i/>
          <w:iCs/>
          <w:color w:val="000000"/>
          <w:sz w:val="21"/>
          <w:szCs w:val="21"/>
          <w:lang w:val="en-US" w:eastAsia="zh-CN"/>
        </w:rPr>
        <w:t>九、调查研究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1"/>
          <w:szCs w:val="21"/>
        </w:rPr>
        <w:t>（一）</w:t>
      </w:r>
      <w:r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  <w:t>量的调查研究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  <w:t>二</w:t>
      </w:r>
      <w:r>
        <w:rPr>
          <w:rFonts w:hint="eastAsia" w:ascii="宋体" w:hAnsi="宋体"/>
          <w:b/>
          <w:bCs w:val="0"/>
          <w:color w:val="000000"/>
          <w:sz w:val="21"/>
          <w:szCs w:val="21"/>
        </w:rPr>
        <w:t>）</w:t>
      </w:r>
      <w:r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  <w:t>质的调查研究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  <w:t>三</w:t>
      </w:r>
      <w:r>
        <w:rPr>
          <w:rFonts w:hint="eastAsia" w:ascii="宋体" w:hAnsi="宋体"/>
          <w:b/>
          <w:bCs w:val="0"/>
          <w:color w:val="000000"/>
          <w:sz w:val="21"/>
          <w:szCs w:val="21"/>
        </w:rPr>
        <w:t>）</w:t>
      </w:r>
      <w:r>
        <w:rPr>
          <w:rFonts w:hint="eastAsia" w:ascii="宋体" w:hAnsi="宋体"/>
          <w:b/>
          <w:bCs w:val="0"/>
          <w:color w:val="000000"/>
          <w:sz w:val="21"/>
          <w:szCs w:val="21"/>
          <w:lang w:val="en-US" w:eastAsia="zh-CN"/>
        </w:rPr>
        <w:t>扎根理论的程序和技巧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eastAsia" w:ascii="宋体" w:hAnsi="宋体"/>
          <w:b/>
          <w:i/>
          <w:i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i/>
          <w:iCs/>
          <w:color w:val="000000"/>
          <w:sz w:val="21"/>
          <w:szCs w:val="21"/>
          <w:lang w:val="en-US" w:eastAsia="zh-CN"/>
        </w:rPr>
        <w:t>十、历史研究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（一）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历史的考证研究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二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历史的叙事研究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历史的解释学研究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color w:val="000000"/>
          <w:sz w:val="21"/>
          <w:szCs w:val="21"/>
        </w:rPr>
      </w:pPr>
    </w:p>
    <w:p>
      <w:pPr>
        <w:snapToGrid w:val="0"/>
        <w:spacing w:line="360" w:lineRule="auto"/>
        <w:ind w:firstLine="211" w:firstLineChars="100"/>
        <w:outlineLvl w:val="0"/>
        <w:rPr>
          <w:rFonts w:hint="default" w:ascii="宋体" w:hAnsi="宋体" w:eastAsia="宋体"/>
          <w:b/>
          <w:bCs/>
          <w:i/>
          <w:i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i/>
          <w:iCs/>
          <w:color w:val="000000"/>
          <w:sz w:val="21"/>
          <w:szCs w:val="21"/>
          <w:lang w:val="en-US" w:eastAsia="zh-CN"/>
        </w:rPr>
        <w:t>十一、研究结果的分析呈现与评价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（一）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定性分析的特点、方法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（二）定性分析的过程、思路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数据类型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>1.计数型数据；  2.等级型数据；  3.等距型数据；  4.等比型数据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集中趋势的度量</w:t>
      </w:r>
    </w:p>
    <w:p>
      <w:pPr>
        <w:snapToGrid w:val="0"/>
        <w:spacing w:line="360" w:lineRule="auto"/>
        <w:ind w:firstLine="210" w:firstLineChars="100"/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 xml:space="preserve">1.平均数（算数平均数、几何平均数、调和平均数、加权平均数）；  2.中数；  3.众数 </w:t>
      </w:r>
    </w:p>
    <w:p>
      <w:pPr>
        <w:snapToGrid w:val="0"/>
        <w:spacing w:line="360" w:lineRule="auto"/>
        <w:ind w:firstLine="211" w:firstLineChars="100"/>
        <w:outlineLvl w:val="1"/>
        <w:rPr>
          <w:rFonts w:hint="default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（五）离散趋势的度量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>1.方差；  2.标准差；  3.公式及其计算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六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变量之关系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>1.正相关；  2.负相关；  3.零相关；  4.等级相关；  5.积差相关</w:t>
      </w:r>
    </w:p>
    <w:p>
      <w:pPr>
        <w:snapToGrid w:val="0"/>
        <w:spacing w:line="360" w:lineRule="auto"/>
        <w:ind w:firstLine="211" w:firstLineChars="100"/>
        <w:outlineLvl w:val="1"/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七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数据分析</w:t>
      </w:r>
    </w:p>
    <w:p>
      <w:pPr>
        <w:snapToGrid w:val="0"/>
        <w:spacing w:line="360" w:lineRule="auto"/>
        <w:ind w:firstLine="210" w:firstLineChars="100"/>
        <w:rPr>
          <w:rFonts w:hint="default" w:ascii="宋体" w:hAnsi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  <w:lang w:val="en-US" w:eastAsia="zh-CN"/>
        </w:rPr>
        <w:t>1.独立性检验；  2.方差分析；  3.回归分析</w:t>
      </w: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</w:p>
    <w:p>
      <w:pPr>
        <w:snapToGrid w:val="0"/>
        <w:spacing w:line="360" w:lineRule="auto"/>
        <w:ind w:firstLine="211" w:firstLineChars="100"/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</w:pPr>
    </w:p>
    <w:p>
      <w:pPr>
        <w:numPr>
          <w:ilvl w:val="0"/>
          <w:numId w:val="1"/>
        </w:numPr>
        <w:snapToGrid w:val="0"/>
        <w:spacing w:line="360" w:lineRule="auto"/>
        <w:ind w:firstLine="422" w:firstLineChars="200"/>
        <w:outlineLvl w:val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试卷结构、题型比例及分值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主要考查学生是否掌握教育研究的基础知识，是否具备基本的学术规范意识，能否有效地运用教育研究基本理论和方法分析、解决教育教学实际问题。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试卷结构</w:t>
      </w:r>
      <w:r>
        <w:rPr>
          <w:rFonts w:hint="eastAsia" w:ascii="宋体" w:hAnsi="宋体" w:cs="宋体"/>
          <w:kern w:val="0"/>
          <w:sz w:val="21"/>
          <w:szCs w:val="21"/>
        </w:rPr>
        <w:t>：试卷包括名词解释、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简答</w:t>
      </w:r>
      <w:r>
        <w:rPr>
          <w:rFonts w:hint="eastAsia" w:ascii="宋体" w:hAnsi="宋体" w:cs="宋体"/>
          <w:kern w:val="0"/>
          <w:sz w:val="21"/>
          <w:szCs w:val="21"/>
        </w:rPr>
        <w:t>题，论述题、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案例分析</w:t>
      </w:r>
      <w:r>
        <w:rPr>
          <w:rFonts w:hint="eastAsia" w:ascii="宋体" w:hAnsi="宋体" w:cs="宋体"/>
          <w:kern w:val="0"/>
          <w:sz w:val="21"/>
          <w:szCs w:val="21"/>
        </w:rPr>
        <w:t>题。</w:t>
      </w:r>
    </w:p>
    <w:p>
      <w:pPr>
        <w:snapToGrid w:val="0"/>
        <w:spacing w:line="360" w:lineRule="auto"/>
        <w:ind w:left="210" w:leftChars="100" w:firstLine="445" w:firstLineChars="212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答卷方式</w:t>
      </w:r>
      <w:r>
        <w:rPr>
          <w:rFonts w:hint="eastAsia" w:ascii="宋体" w:hAnsi="宋体" w:cs="宋体"/>
          <w:kern w:val="0"/>
          <w:sz w:val="21"/>
          <w:szCs w:val="21"/>
        </w:rPr>
        <w:t>：</w:t>
      </w:r>
      <w:r>
        <w:rPr>
          <w:rFonts w:ascii="宋体" w:hAnsi="宋体" w:cs="宋体"/>
          <w:kern w:val="0"/>
          <w:sz w:val="21"/>
          <w:szCs w:val="21"/>
        </w:rPr>
        <w:t>闭卷</w:t>
      </w:r>
      <w:r>
        <w:rPr>
          <w:rFonts w:hint="eastAsia" w:ascii="宋体" w:hAnsi="宋体" w:cs="宋体"/>
          <w:kern w:val="0"/>
          <w:sz w:val="21"/>
          <w:szCs w:val="21"/>
        </w:rPr>
        <w:t>、</w:t>
      </w:r>
      <w:r>
        <w:rPr>
          <w:rFonts w:ascii="宋体" w:hAnsi="宋体" w:cs="宋体"/>
          <w:kern w:val="0"/>
          <w:sz w:val="21"/>
          <w:szCs w:val="21"/>
        </w:rPr>
        <w:t>笔试</w:t>
      </w:r>
    </w:p>
    <w:p>
      <w:pPr>
        <w:snapToGrid w:val="0"/>
        <w:spacing w:line="360" w:lineRule="auto"/>
        <w:ind w:left="210" w:leftChars="100" w:firstLine="445" w:firstLineChars="212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答题时间</w:t>
      </w:r>
      <w:r>
        <w:rPr>
          <w:rFonts w:hint="eastAsia" w:ascii="宋体" w:hAnsi="宋体" w:cs="宋体"/>
          <w:kern w:val="0"/>
          <w:sz w:val="21"/>
          <w:szCs w:val="21"/>
        </w:rPr>
        <w:t>：</w:t>
      </w:r>
      <w:r>
        <w:rPr>
          <w:rFonts w:ascii="宋体" w:hAnsi="宋体" w:cs="宋体"/>
          <w:kern w:val="0"/>
          <w:sz w:val="21"/>
          <w:szCs w:val="21"/>
        </w:rPr>
        <w:t>1</w:t>
      </w:r>
      <w:r>
        <w:rPr>
          <w:rFonts w:hint="eastAsia" w:ascii="宋体" w:hAnsi="宋体" w:cs="宋体"/>
          <w:kern w:val="0"/>
          <w:sz w:val="21"/>
          <w:szCs w:val="21"/>
        </w:rPr>
        <w:t>80</w:t>
      </w:r>
      <w:r>
        <w:rPr>
          <w:rFonts w:ascii="宋体" w:hAnsi="宋体" w:cs="宋体"/>
          <w:kern w:val="0"/>
          <w:sz w:val="21"/>
          <w:szCs w:val="21"/>
        </w:rPr>
        <w:t>分钟</w:t>
      </w:r>
      <w:r>
        <w:rPr>
          <w:rFonts w:hint="eastAsia" w:ascii="宋体" w:hAnsi="宋体" w:cs="宋体"/>
          <w:kern w:val="0"/>
          <w:sz w:val="21"/>
          <w:szCs w:val="21"/>
        </w:rPr>
        <w:t xml:space="preserve"> </w:t>
      </w:r>
    </w:p>
    <w:p>
      <w:pPr>
        <w:snapToGrid w:val="0"/>
        <w:spacing w:line="360" w:lineRule="auto"/>
        <w:ind w:left="210" w:leftChars="100" w:firstLine="445" w:firstLineChars="212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t>试卷满分为</w:t>
      </w:r>
      <w:r>
        <w:rPr>
          <w:rFonts w:hint="eastAsia" w:ascii="宋体" w:hAnsi="宋体" w:cs="宋体"/>
          <w:kern w:val="0"/>
          <w:sz w:val="21"/>
          <w:szCs w:val="21"/>
        </w:rPr>
        <w:t>150</w:t>
      </w:r>
      <w:r>
        <w:rPr>
          <w:rFonts w:ascii="宋体" w:hAnsi="宋体" w:cs="宋体"/>
          <w:kern w:val="0"/>
          <w:sz w:val="21"/>
          <w:szCs w:val="21"/>
        </w:rPr>
        <w:t>分</w:t>
      </w:r>
    </w:p>
    <w:p>
      <w:pPr>
        <w:snapToGrid w:val="0"/>
        <w:spacing w:line="360" w:lineRule="auto"/>
        <w:ind w:firstLine="240" w:firstLineChars="100"/>
        <w:rPr>
          <w:rFonts w:ascii="宋体" w:hAnsi="宋体"/>
          <w:color w:val="000000"/>
          <w:sz w:val="24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C5DA0"/>
    <w:multiLevelType w:val="singleLevel"/>
    <w:tmpl w:val="2E6C5DA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mMxODg5YjUxZWI4N2E1N2ZjMjU1MWJmMTFjMGU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7C11A9F"/>
    <w:rsid w:val="0DC12675"/>
    <w:rsid w:val="10C009C2"/>
    <w:rsid w:val="17B444E9"/>
    <w:rsid w:val="1EB94571"/>
    <w:rsid w:val="1F756FE3"/>
    <w:rsid w:val="21771D83"/>
    <w:rsid w:val="29557440"/>
    <w:rsid w:val="2B4C0FD7"/>
    <w:rsid w:val="2D9378B1"/>
    <w:rsid w:val="2FA406FA"/>
    <w:rsid w:val="3BB75CE8"/>
    <w:rsid w:val="3DAE462B"/>
    <w:rsid w:val="449866A0"/>
    <w:rsid w:val="44F22BED"/>
    <w:rsid w:val="4B1F154D"/>
    <w:rsid w:val="4E3957B3"/>
    <w:rsid w:val="557B7D23"/>
    <w:rsid w:val="58365C89"/>
    <w:rsid w:val="5C870A4B"/>
    <w:rsid w:val="60F57D50"/>
    <w:rsid w:val="65CD2602"/>
    <w:rsid w:val="66F34DC1"/>
    <w:rsid w:val="6AF70AA7"/>
    <w:rsid w:val="70C544A2"/>
    <w:rsid w:val="75383ED8"/>
    <w:rsid w:val="753D16E3"/>
    <w:rsid w:val="76DE0219"/>
    <w:rsid w:val="798F3181"/>
    <w:rsid w:val="7A70394F"/>
    <w:rsid w:val="7A9B5215"/>
    <w:rsid w:val="7ABF77E8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 Char Char1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154</Words>
  <Characters>880</Characters>
  <Lines>7</Lines>
  <Paragraphs>2</Paragraphs>
  <TotalTime>14</TotalTime>
  <ScaleCrop>false</ScaleCrop>
  <LinksUpToDate>false</LinksUpToDate>
  <CharactersWithSpaces>1032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2024-01-08T08:08:00Z</dcterms:modified>
  <dc:title>浙江师范大学2004年研究生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66557825FA1E41588A65C7E713400BE5_13</vt:lpwstr>
  </property>
</Properties>
</file>