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s="Times New Roman"/>
          <w:szCs w:val="20"/>
        </w:rPr>
      </w:pPr>
      <w:r>
        <w:rPr>
          <w:rFonts w:hint="eastAsia" w:ascii="黑体" w:hAnsi="黑体" w:eastAsia="黑体" w:cs="Times New Roman"/>
          <w:b/>
          <w:bCs/>
          <w:color w:val="000000" w:themeColor="text1"/>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Times New Roman"/>
          <w:b/>
          <w:bCs/>
          <w:color w:val="000000" w:themeColor="text1"/>
          <w:sz w:val="32"/>
          <w:szCs w:val="32"/>
          <w14:textFill>
            <w14:solidFill>
              <w14:schemeClr w14:val="tx1"/>
            </w14:solidFill>
          </w14:textFill>
        </w:rPr>
        <w:instrText xml:space="preserve">ADDIN CNKISM.UserStyle</w:instrText>
      </w:r>
      <w:r>
        <w:rPr>
          <w:rFonts w:hint="eastAsia" w:ascii="黑体" w:hAnsi="黑体" w:eastAsia="黑体" w:cs="Times New Roman"/>
          <w:b/>
          <w:bCs/>
          <w:color w:val="000000" w:themeColor="text1"/>
          <w:sz w:val="32"/>
          <w:szCs w:val="32"/>
          <w14:textFill>
            <w14:solidFill>
              <w14:schemeClr w14:val="tx1"/>
            </w14:solidFill>
          </w14:textFill>
        </w:rPr>
        <w:fldChar w:fldCharType="end"/>
      </w:r>
      <w:r>
        <w:rPr>
          <w:rFonts w:hint="eastAsia" w:ascii="黑体" w:hAnsi="黑体" w:eastAsia="黑体" w:cs="Times New Roman"/>
          <w:b/>
          <w:bCs/>
          <w:color w:val="000000" w:themeColor="text1"/>
          <w:sz w:val="32"/>
          <w:szCs w:val="32"/>
          <w14:textFill>
            <w14:solidFill>
              <w14:schemeClr w14:val="tx1"/>
            </w14:solidFill>
          </w14:textFill>
        </w:rPr>
        <w:t>湖南农业大学外国语言文学硕士研究生招生考试《二外-德语》考试大纲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德语考试是为高等院校和科研院所招收硕士研究生而设置的具有选拔性质的全国招生考试科目，其目的是科学、公平、有效地测试考生掌握大学本科阶段《大学德语》（又称《第二外语德语》）课程的基本知识、基本理论，以及运用相关知识分析和解决问题的能力，评价的标准是高等学校本科毕业生能达到的及格或及格以上水平，以保证被录取者具有基本的德语知识水平，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德语考试涵盖</w:t>
      </w:r>
      <w:r>
        <w:rPr>
          <w:rFonts w:hint="eastAsia" w:ascii="仿宋_GB2312" w:hAnsi="仿宋_GB2312" w:eastAsia="仿宋_GB2312" w:cs="仿宋_GB2312"/>
          <w:b/>
          <w:bCs/>
          <w:color w:val="000000" w:themeColor="text1"/>
          <w:sz w:val="24"/>
          <w:szCs w:val="24"/>
          <w14:textFill>
            <w14:solidFill>
              <w14:schemeClr w14:val="tx1"/>
            </w14:solidFill>
          </w14:textFill>
        </w:rPr>
        <w:t>《新编大学德语》教材第一册到第二册第五单元</w:t>
      </w:r>
      <w:r>
        <w:rPr>
          <w:rFonts w:hint="eastAsia" w:ascii="仿宋_GB2312" w:hAnsi="仿宋_GB2312" w:eastAsia="仿宋_GB2312" w:cs="仿宋_GB2312"/>
          <w:color w:val="000000" w:themeColor="text1"/>
          <w:sz w:val="24"/>
          <w:szCs w:val="24"/>
          <w14:textFill>
            <w14:solidFill>
              <w14:schemeClr w14:val="tx1"/>
            </w14:solidFill>
          </w14:textFill>
        </w:rPr>
        <w:t>的内容，考试目的在于考核考生的德语基础知识和相应的运用能力。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本试卷满分为100分，考试时间为180分钟。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lang w:eastAsia="zh-CN"/>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（三）试卷内容和题型结构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考试内容由四个部分组成：语法与词汇、阅读理解、完形填空及翻译。各部分测试内容、目的、题型和所占分值比例如下：</w:t>
      </w: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686"/>
        <w:gridCol w:w="3025"/>
        <w:gridCol w:w="248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形式</w:t>
            </w:r>
          </w:p>
        </w:tc>
        <w:tc>
          <w:tcPr>
            <w:tcW w:w="1686"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考试内容</w:t>
            </w:r>
          </w:p>
        </w:tc>
        <w:tc>
          <w:tcPr>
            <w:tcW w:w="3025" w:type="dxa"/>
          </w:tcPr>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测试目的</w:t>
            </w:r>
          </w:p>
        </w:tc>
        <w:tc>
          <w:tcPr>
            <w:tcW w:w="2488" w:type="dxa"/>
          </w:tcPr>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题型</w:t>
            </w:r>
          </w:p>
        </w:tc>
        <w:tc>
          <w:tcPr>
            <w:tcW w:w="99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观</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题</w:t>
            </w:r>
          </w:p>
        </w:tc>
        <w:tc>
          <w:tcPr>
            <w:tcW w:w="168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语法与词汇</w:t>
            </w:r>
          </w:p>
        </w:tc>
        <w:tc>
          <w:tcPr>
            <w:tcW w:w="3025"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语法与词汇知识</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选择</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68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302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选词填空</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68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阅读理解</w:t>
            </w:r>
          </w:p>
        </w:tc>
        <w:tc>
          <w:tcPr>
            <w:tcW w:w="3025"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获取主要信息或获取主要内容细节</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选择</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68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302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选词填空</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完形填空</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词汇与阅读</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选词填空</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观</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题</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语法与词汇</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语法与词汇知识</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填空</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翻译</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德译汉能力</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翻译句子或划线部分</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合计</w:t>
            </w: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100</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1.德语名词、定冠词、不定冠词、物主代词、指示代词、关系代词与否定词“kein”的性、数、格的变化，人称代词、反身代词的数与格的变化和使用；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2.形容词的三种变格，形容词和副词比较等级的构成及用法；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3.常用介词、连词、不定代词“man”和否定词“nicht”的使用，正语序和反语序、常用基数词以及名词构词法和时间的表达法；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4.强变化动词、弱变化动词、可分动词、不可分动词、反身动词和情态动词的现在时及过去时变位，动词的命令式、现在完成时和过去完成时、将来时的构成与使用，动词、形容词和介词的搭配；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5.带zu的不定式和um…zu…的构成与用法；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6.主语从句、宾语从句、关系从句、时间从句、原因从句、条件从句、方式从句、目的从句等的构成与用法。</w:t>
      </w:r>
    </w:p>
    <w:sectPr>
      <w:footerReference r:id="rId3" w:type="default"/>
      <w:pgSz w:w="11906" w:h="16838"/>
      <w:pgMar w:top="1417" w:right="1474" w:bottom="141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3079"/>
                            <w:docPartObj>
                              <w:docPartGallery w:val="autotext"/>
                            </w:docPartObj>
                          </w:sdtPr>
                          <w:sdtContent>
                            <w:p>
                              <w:pPr>
                                <w:pStyle w:val="2"/>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043079"/>
                      <w:docPartObj>
                        <w:docPartGallery w:val="autotext"/>
                      </w:docPartObj>
                    </w:sdtPr>
                    <w:sdtContent>
                      <w:p>
                        <w:pPr>
                          <w:pStyle w:val="2"/>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382E3F92"/>
    <w:rsid w:val="00090E88"/>
    <w:rsid w:val="001A32C7"/>
    <w:rsid w:val="001D5625"/>
    <w:rsid w:val="003524B5"/>
    <w:rsid w:val="00423E32"/>
    <w:rsid w:val="00425335"/>
    <w:rsid w:val="00512A9F"/>
    <w:rsid w:val="00515C7C"/>
    <w:rsid w:val="00603BA6"/>
    <w:rsid w:val="00A04147"/>
    <w:rsid w:val="00C46224"/>
    <w:rsid w:val="00CD1153"/>
    <w:rsid w:val="00E554E5"/>
    <w:rsid w:val="00E97407"/>
    <w:rsid w:val="066751CE"/>
    <w:rsid w:val="382E3F92"/>
    <w:rsid w:val="47CF1599"/>
    <w:rsid w:val="4F331744"/>
    <w:rsid w:val="59CD1271"/>
    <w:rsid w:val="7A2E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837</Words>
  <Characters>868</Characters>
  <Lines>7</Lines>
  <Paragraphs>2</Paragraphs>
  <TotalTime>1</TotalTime>
  <ScaleCrop>false</ScaleCrop>
  <LinksUpToDate>false</LinksUpToDate>
  <CharactersWithSpaces>869</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2019-07-08T12:12:00Z</dcterms:created>
  <dc:creator>C小曦</dc:creator>
  <cp:lastModifiedBy>Drink</cp:lastModifiedBy>
  <cp:lastPrinted>2020-08-13T03:04:00Z</cp:lastPrinted>
  <dcterms:modified xsi:type="dcterms:W3CDTF">2023-09-21T04:32:57Z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FC198440748849469CFA186B38CDCB18</vt:lpwstr>
  </property>
</Properties>
</file>