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32"/>
          <w:szCs w:val="32"/>
          <w:lang w:eastAsia="zh-CN"/>
        </w:rPr>
      </w:pPr>
      <w:r>
        <w:rPr>
          <w:rFonts w:hint="eastAsia" w:ascii="黑体" w:hAnsi="黑体" w:eastAsia="黑体" w:cs="Times New Roman"/>
          <w:b/>
          <w:bCs/>
          <w:color w:val="000000"/>
          <w:sz w:val="32"/>
          <w:szCs w:val="32"/>
        </w:rPr>
        <w:t>202</w:t>
      </w:r>
      <w:r>
        <w:rPr>
          <w:rFonts w:hint="eastAsia" w:ascii="黑体" w:hAnsi="黑体" w:eastAsia="黑体" w:cs="Times New Roman"/>
          <w:b/>
          <w:bCs/>
          <w:color w:val="000000"/>
          <w:sz w:val="32"/>
          <w:szCs w:val="32"/>
          <w:lang w:val="en-US" w:eastAsia="zh-CN"/>
        </w:rPr>
        <w:t>4</w:t>
      </w:r>
      <w:r>
        <w:rPr>
          <w:rFonts w:hint="eastAsia" w:ascii="黑体" w:hAnsi="黑体" w:eastAsia="黑体" w:cs="Times New Roman"/>
          <w:b/>
          <w:bCs/>
          <w:color w:val="000000"/>
          <w:sz w:val="32"/>
          <w:szCs w:val="32"/>
        </w:rPr>
        <w:t>年全国硕士研究生招生考试</w:t>
      </w:r>
      <w:r>
        <w:rPr>
          <w:rFonts w:hint="eastAsia" w:ascii="黑体" w:hAnsi="黑体" w:eastAsia="黑体" w:cs="Times New Roman"/>
          <w:b/>
          <w:bCs/>
          <w:color w:val="000000"/>
          <w:sz w:val="32"/>
          <w:szCs w:val="32"/>
          <w:lang w:eastAsia="zh-CN"/>
        </w:rPr>
        <w:t>《</w:t>
      </w:r>
      <w:r>
        <w:rPr>
          <w:rFonts w:hint="eastAsia" w:ascii="黑体" w:hAnsi="黑体" w:eastAsia="黑体" w:cs="Times New Roman"/>
          <w:b/>
          <w:bCs/>
          <w:color w:val="000000"/>
          <w:sz w:val="32"/>
          <w:szCs w:val="32"/>
          <w:lang w:val="en-US" w:eastAsia="zh-CN"/>
        </w:rPr>
        <w:t>安全学原理</w:t>
      </w:r>
      <w:r>
        <w:rPr>
          <w:rFonts w:hint="eastAsia" w:ascii="黑体" w:hAnsi="黑体" w:eastAsia="黑体" w:cs="Times New Roman"/>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sz w:val="32"/>
          <w:szCs w:val="32"/>
        </w:rPr>
      </w:pPr>
      <w:r>
        <w:rPr>
          <w:rFonts w:hint="eastAsia" w:ascii="黑体" w:hAnsi="黑体" w:eastAsia="黑体" w:cs="Times New Roman"/>
          <w:b/>
          <w:bCs/>
          <w:color w:val="000000"/>
          <w:sz w:val="32"/>
          <w:szCs w:val="32"/>
        </w:rPr>
        <w:t>考试大纲</w:t>
      </w:r>
    </w:p>
    <w:p>
      <w:pPr>
        <w:spacing w:line="324" w:lineRule="auto"/>
        <w:ind w:firstLine="482" w:firstLineChars="200"/>
        <w:rPr>
          <w:rFonts w:hint="eastAsia" w:ascii="仿宋_GB2312" w:hAnsi="宋体" w:eastAsia="仿宋_GB2312"/>
          <w:b/>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一、考试性质</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安全科学原理是以安全科学为主要研究对象，研究认识安全科学的内涵、外延、属性、特征、社会功能、结构体系、运动发展以及促进安全学科分支创建和应用等的一般原理、原则和方法的一门学科。安全科学原理是安全活动或工作必须遵循的基本规律和原则，是基于经验或理论归纳得出的安全食物发展变化的客观规律。安全科学原理涵盖了多个层次的功能和作用，既可以用于解释生产生活活动中的事故致因，又可以概括事故灾难规律；既可以用于指导预防事故灾难，又可以用于确保人的安全健康等。安全科学原理是安全科学的理论支柱，它的主要内容包括安全哲学原理、事故预防原理、风险管理原理、安全模型原理、安全人因科学原理、安全自然科学原理、安全技术科学原理、安全社会科学原理、安全系统科学原理等等。</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本大纲适用于报考湖南农业大学资源与环境学科安全工程研究方向的考生。参考书目为《安全科学原理》，吴超主编，机械工业出版社，2</w:t>
      </w:r>
      <w:r>
        <w:rPr>
          <w:rFonts w:ascii="仿宋_GB2312" w:hAnsi="宋体" w:eastAsia="仿宋_GB2312"/>
          <w:color w:val="000000"/>
          <w:sz w:val="24"/>
          <w:szCs w:val="24"/>
        </w:rPr>
        <w:t>018</w:t>
      </w:r>
      <w:r>
        <w:rPr>
          <w:rFonts w:hint="eastAsia" w:ascii="仿宋_GB2312" w:hAnsi="宋体" w:eastAsia="仿宋_GB2312"/>
          <w:color w:val="000000"/>
          <w:sz w:val="24"/>
          <w:szCs w:val="24"/>
        </w:rPr>
        <w:t>年印刷。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二、考查目标</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安全科学原理考试是主要考查考生的安全专业基本知识、基本理论和专业知识素养，重视考查考生对安全科学基本原理的基本概念、理论、方法的了解，和使用安全科学原理去认识和分析安全领域中的安全科学问题和规律的能力。考生应能：</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1.掌握安全科学原理的基本理论和概念。安全科学原理涉及到了安全科学的最基本概念和基本内涵，要结合本科所学的安全</w:t>
      </w:r>
      <w:r>
        <w:rPr>
          <w:rFonts w:hint="eastAsia" w:ascii="仿宋_GB2312" w:hAnsi="宋体" w:eastAsia="仿宋_GB2312"/>
          <w:color w:val="000000"/>
          <w:sz w:val="24"/>
          <w:szCs w:val="24"/>
          <w:lang w:val="en-US" w:eastAsia="zh-CN"/>
        </w:rPr>
        <w:t>学科</w:t>
      </w:r>
      <w:r>
        <w:rPr>
          <w:rFonts w:hint="eastAsia" w:ascii="仿宋_GB2312" w:hAnsi="宋体" w:eastAsia="仿宋_GB2312"/>
          <w:color w:val="000000"/>
          <w:sz w:val="24"/>
          <w:szCs w:val="24"/>
        </w:rPr>
        <w:t>基础知识和安全工程专业知识</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理解安全科学原理的方法论和安全科学学思想。</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理解安全哲学的思维方式和方法，从认识论、安全观、认同论、思维论四个方面掌握安全哲学原理；掌握事故致因理论和模型，从事故预防原理中掌握事故发生的基本规律和机制，并掌握事故预防的一般方法；掌握风险管理的一般方法和原理，掌握以风险为着眼点所开展的安全工作方法；理解安全科学模型的功能和价值，掌握从安全科学模型中进行分析和知识学习的能力，并能具有一定程度上的构建新模型的能力；掌握人因与安全之间的关系及其规律，并能从人因的角度分析安全问题的发生原因和发生过程；理解安全科学的大综合大交叉学科属性，并能够学习和认识自然灾害和生产安全有关的安全自然科学与原理；理解安全技术科学原理的内涵，掌握一些通用性的安全技术原理基本知识；理解安全社会科学原理，能够结合生活实践理解安全社会科学的内涵；掌握系统安全思维，了解安全系统科学原理的内涵和主要内容，并能够形成安全系统思想。</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3.综合运用各章节的知识。要将个人本科所学的安全专业知识与安全科学原理相结合，对安全科学原理形成一个整体上的认识。在学习过程中要能够注意教材各章节之间的有机联系，切忌死记硬背。只有对教材和教材知识的全面理解和融会贯通，才能取得较好的成绩，对知识、原理、理论要谙熟于心，并能够综合应用，指导个人的其他安全专业知识学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三、考试形式和试卷结构</w:t>
      </w:r>
    </w:p>
    <w:p>
      <w:pPr>
        <w:spacing w:line="324" w:lineRule="auto"/>
        <w:ind w:firstLine="482" w:firstLineChars="200"/>
        <w:rPr>
          <w:rFonts w:ascii="华文中宋" w:hAnsi="华文中宋" w:eastAsia="华文中宋"/>
          <w:b/>
          <w:sz w:val="24"/>
          <w:szCs w:val="24"/>
        </w:rPr>
      </w:pPr>
      <w:r>
        <w:rPr>
          <w:rFonts w:hint="eastAsia" w:ascii="仿宋_GB2312" w:hAnsi="仿宋_GB2312" w:eastAsia="仿宋_GB2312" w:cs="仿宋_GB2312"/>
          <w:b/>
          <w:color w:val="000000"/>
          <w:sz w:val="24"/>
          <w:szCs w:val="24"/>
          <w:lang w:eastAsia="zh-CN"/>
        </w:rPr>
        <w:t>（一）</w:t>
      </w:r>
      <w:r>
        <w:rPr>
          <w:rFonts w:hint="eastAsia" w:ascii="仿宋_GB2312" w:hAnsi="宋体" w:eastAsia="仿宋_GB2312"/>
          <w:b/>
          <w:color w:val="000000"/>
          <w:sz w:val="24"/>
          <w:szCs w:val="24"/>
        </w:rPr>
        <w:t>试卷满分及考试时间</w:t>
      </w:r>
    </w:p>
    <w:p>
      <w:pPr>
        <w:spacing w:line="324" w:lineRule="auto"/>
        <w:ind w:firstLine="480" w:firstLineChars="200"/>
        <w:rPr>
          <w:sz w:val="24"/>
          <w:szCs w:val="24"/>
        </w:rPr>
      </w:pPr>
      <w:r>
        <w:rPr>
          <w:rFonts w:hint="eastAsia" w:ascii="仿宋_GB2312" w:hAnsi="宋体" w:eastAsia="仿宋_GB2312"/>
          <w:color w:val="000000"/>
          <w:sz w:val="24"/>
          <w:szCs w:val="24"/>
        </w:rPr>
        <w:t>本试卷满分为</w:t>
      </w:r>
      <w:r>
        <w:rPr>
          <w:rFonts w:ascii="仿宋_GB2312" w:hAnsi="宋体" w:eastAsia="仿宋_GB2312"/>
          <w:color w:val="000000"/>
          <w:sz w:val="24"/>
          <w:szCs w:val="24"/>
        </w:rPr>
        <w:t>1</w:t>
      </w:r>
      <w:r>
        <w:rPr>
          <w:rFonts w:hint="eastAsia" w:ascii="仿宋_GB2312" w:hAnsi="宋体" w:eastAsia="仿宋_GB2312"/>
          <w:color w:val="000000"/>
          <w:sz w:val="24"/>
          <w:szCs w:val="24"/>
        </w:rPr>
        <w:t>5</w:t>
      </w:r>
      <w:r>
        <w:rPr>
          <w:rFonts w:ascii="仿宋_GB2312" w:hAnsi="宋体" w:eastAsia="仿宋_GB2312"/>
          <w:color w:val="000000"/>
          <w:sz w:val="24"/>
          <w:szCs w:val="24"/>
        </w:rPr>
        <w:t>0</w:t>
      </w:r>
      <w:r>
        <w:rPr>
          <w:rFonts w:hint="eastAsia" w:ascii="仿宋_GB2312" w:hAnsi="宋体" w:eastAsia="仿宋_GB2312"/>
          <w:color w:val="000000"/>
          <w:sz w:val="24"/>
          <w:szCs w:val="24"/>
        </w:rPr>
        <w:t>分，考试时间为</w:t>
      </w:r>
      <w:r>
        <w:rPr>
          <w:rFonts w:ascii="仿宋_GB2312" w:hAnsi="宋体" w:eastAsia="仿宋_GB2312"/>
          <w:color w:val="000000"/>
          <w:sz w:val="24"/>
          <w:szCs w:val="24"/>
        </w:rPr>
        <w:t>180</w:t>
      </w:r>
      <w:r>
        <w:rPr>
          <w:rFonts w:hint="eastAsia" w:ascii="仿宋_GB2312" w:hAnsi="宋体" w:eastAsia="仿宋_GB2312"/>
          <w:color w:val="000000"/>
          <w:sz w:val="24"/>
          <w:szCs w:val="24"/>
        </w:rPr>
        <w:t>分钟。</w:t>
      </w:r>
    </w:p>
    <w:p>
      <w:pPr>
        <w:spacing w:line="324" w:lineRule="auto"/>
        <w:ind w:firstLine="482" w:firstLineChars="200"/>
        <w:rPr>
          <w:rFonts w:ascii="华文中宋" w:hAnsi="华文中宋" w:eastAsia="华文中宋"/>
          <w:b/>
          <w:sz w:val="24"/>
          <w:szCs w:val="24"/>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二</w:t>
      </w:r>
      <w:r>
        <w:rPr>
          <w:rFonts w:hint="eastAsia" w:ascii="仿宋_GB2312" w:hAnsi="仿宋_GB2312" w:eastAsia="仿宋_GB2312" w:cs="仿宋_GB2312"/>
          <w:b/>
          <w:color w:val="000000"/>
          <w:sz w:val="24"/>
          <w:szCs w:val="24"/>
          <w:lang w:eastAsia="zh-CN"/>
        </w:rPr>
        <w:t>）</w:t>
      </w:r>
      <w:r>
        <w:rPr>
          <w:rFonts w:hint="eastAsia" w:ascii="仿宋_GB2312" w:hAnsi="宋体" w:eastAsia="仿宋_GB2312"/>
          <w:b/>
          <w:color w:val="000000"/>
          <w:sz w:val="24"/>
          <w:szCs w:val="24"/>
        </w:rPr>
        <w:t>答题方式</w:t>
      </w:r>
    </w:p>
    <w:p>
      <w:pPr>
        <w:spacing w:line="324" w:lineRule="auto"/>
        <w:ind w:firstLine="480" w:firstLineChars="200"/>
        <w:rPr>
          <w:sz w:val="24"/>
          <w:szCs w:val="24"/>
        </w:rPr>
      </w:pPr>
      <w:r>
        <w:rPr>
          <w:rFonts w:hint="eastAsia" w:ascii="仿宋_GB2312" w:hAnsi="宋体" w:eastAsia="仿宋_GB2312"/>
          <w:color w:val="000000"/>
          <w:sz w:val="24"/>
          <w:szCs w:val="24"/>
        </w:rPr>
        <w:t>答题方式为闭卷、笔试。</w:t>
      </w:r>
    </w:p>
    <w:p>
      <w:pPr>
        <w:spacing w:line="324" w:lineRule="auto"/>
        <w:ind w:firstLine="482" w:firstLineChars="200"/>
        <w:rPr>
          <w:rFonts w:ascii="仿宋_GB2312" w:hAnsi="宋体" w:eastAsia="仿宋_GB2312"/>
          <w:b/>
          <w:color w:val="000000"/>
          <w:sz w:val="24"/>
          <w:szCs w:val="24"/>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三</w:t>
      </w:r>
      <w:r>
        <w:rPr>
          <w:rFonts w:hint="eastAsia" w:ascii="仿宋_GB2312" w:hAnsi="仿宋_GB2312" w:eastAsia="仿宋_GB2312" w:cs="仿宋_GB2312"/>
          <w:b/>
          <w:color w:val="000000"/>
          <w:sz w:val="24"/>
          <w:szCs w:val="24"/>
          <w:lang w:eastAsia="zh-CN"/>
        </w:rPr>
        <w:t>）</w:t>
      </w:r>
      <w:r>
        <w:rPr>
          <w:rFonts w:hint="eastAsia" w:ascii="仿宋_GB2312" w:hAnsi="宋体" w:eastAsia="仿宋_GB2312"/>
          <w:b/>
          <w:color w:val="000000"/>
          <w:sz w:val="24"/>
          <w:szCs w:val="24"/>
        </w:rPr>
        <w:t>试卷内容结构</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安全科学原理基础概念约为30分</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事故预防原理的理论模型理解、阐述和运用约为30分</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风险管理原理的基本原则、内容、应用方法约为</w:t>
      </w:r>
      <w:r>
        <w:rPr>
          <w:rFonts w:ascii="仿宋_GB2312" w:hAnsi="宋体" w:eastAsia="仿宋_GB2312"/>
          <w:color w:val="000000"/>
          <w:sz w:val="24"/>
          <w:szCs w:val="24"/>
        </w:rPr>
        <w:t>30</w:t>
      </w:r>
      <w:r>
        <w:rPr>
          <w:rFonts w:hint="eastAsia" w:ascii="仿宋_GB2312" w:hAnsi="宋体" w:eastAsia="仿宋_GB2312"/>
          <w:color w:val="000000"/>
          <w:sz w:val="24"/>
          <w:szCs w:val="24"/>
        </w:rPr>
        <w:t>分</w:t>
      </w:r>
    </w:p>
    <w:p>
      <w:pPr>
        <w:spacing w:line="324" w:lineRule="auto"/>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安全技术科学原理的主要内容、认识、理解、作用、阐述约为3</w:t>
      </w:r>
      <w:r>
        <w:rPr>
          <w:rFonts w:ascii="仿宋_GB2312" w:hAnsi="宋体" w:eastAsia="仿宋_GB2312"/>
          <w:color w:val="000000"/>
          <w:sz w:val="24"/>
          <w:szCs w:val="24"/>
        </w:rPr>
        <w:t>0</w:t>
      </w:r>
      <w:r>
        <w:rPr>
          <w:rFonts w:hint="eastAsia" w:ascii="仿宋_GB2312" w:hAnsi="宋体" w:eastAsia="仿宋_GB2312"/>
          <w:color w:val="000000"/>
          <w:sz w:val="24"/>
          <w:szCs w:val="24"/>
        </w:rPr>
        <w:t>分</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安全系统科学原理的主要内容、思维和方法约为30分</w:t>
      </w:r>
    </w:p>
    <w:p>
      <w:pPr>
        <w:spacing w:line="324" w:lineRule="auto"/>
        <w:ind w:firstLine="482" w:firstLineChars="200"/>
        <w:rPr>
          <w:rFonts w:ascii="华文中宋" w:hAnsi="华文中宋" w:eastAsia="华文中宋"/>
          <w:b/>
          <w:sz w:val="24"/>
          <w:szCs w:val="24"/>
        </w:rPr>
      </w:pPr>
      <w:r>
        <w:rPr>
          <w:rFonts w:hint="eastAsia" w:ascii="仿宋_GB2312" w:hAnsi="仿宋_GB2312" w:eastAsia="仿宋_GB2312" w:cs="仿宋_GB2312"/>
          <w:b/>
          <w:color w:val="000000"/>
          <w:sz w:val="24"/>
          <w:szCs w:val="24"/>
          <w:lang w:eastAsia="zh-CN"/>
        </w:rPr>
        <w:t>（</w:t>
      </w:r>
      <w:r>
        <w:rPr>
          <w:rFonts w:hint="eastAsia" w:ascii="仿宋_GB2312" w:hAnsi="仿宋_GB2312" w:eastAsia="仿宋_GB2312" w:cs="仿宋_GB2312"/>
          <w:b/>
          <w:color w:val="000000"/>
          <w:sz w:val="24"/>
          <w:szCs w:val="24"/>
          <w:lang w:val="en-US" w:eastAsia="zh-CN"/>
        </w:rPr>
        <w:t>四</w:t>
      </w:r>
      <w:r>
        <w:rPr>
          <w:rFonts w:hint="eastAsia" w:ascii="仿宋_GB2312" w:hAnsi="仿宋_GB2312" w:eastAsia="仿宋_GB2312" w:cs="仿宋_GB2312"/>
          <w:b/>
          <w:color w:val="000000"/>
          <w:sz w:val="24"/>
          <w:szCs w:val="24"/>
          <w:lang w:eastAsia="zh-CN"/>
        </w:rPr>
        <w:t>）</w:t>
      </w:r>
      <w:r>
        <w:rPr>
          <w:rFonts w:hint="eastAsia" w:ascii="仿宋_GB2312" w:hAnsi="宋体" w:eastAsia="仿宋_GB2312"/>
          <w:b/>
          <w:color w:val="000000"/>
          <w:sz w:val="24"/>
          <w:szCs w:val="24"/>
        </w:rPr>
        <w:t>试卷题型结构</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名词解释、简答题、综合论述题等。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四、考查内容</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（一）</w:t>
      </w:r>
      <w:r>
        <w:rPr>
          <w:rFonts w:hint="eastAsia" w:ascii="仿宋_GB2312" w:hAnsi="宋体" w:eastAsia="仿宋_GB2312"/>
          <w:b/>
          <w:bCs/>
          <w:sz w:val="24"/>
          <w:szCs w:val="24"/>
        </w:rPr>
        <w:t>绪论</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安全与安全原理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安全原理研究的方法论</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安全原理界定及说明</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（二）</w:t>
      </w:r>
      <w:r>
        <w:rPr>
          <w:rFonts w:hint="eastAsia" w:ascii="仿宋_GB2312" w:hAnsi="宋体" w:eastAsia="仿宋_GB2312"/>
          <w:b/>
          <w:bCs/>
          <w:sz w:val="24"/>
          <w:szCs w:val="24"/>
        </w:rPr>
        <w:t>安全哲学原理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安全的认识论</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安全观的塑造论</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安全的认同论</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安全的</w:t>
      </w:r>
      <w:r>
        <w:rPr>
          <w:rFonts w:hint="eastAsia" w:ascii="仿宋_GB2312" w:hAnsi="宋体" w:eastAsia="仿宋_GB2312" w:cs="Times New Roman"/>
          <w:color w:val="000000"/>
          <w:sz w:val="24"/>
          <w:szCs w:val="24"/>
          <w:lang w:eastAsia="zh-Hans"/>
        </w:rPr>
        <w:t>思维</w:t>
      </w:r>
      <w:r>
        <w:rPr>
          <w:rFonts w:hint="eastAsia" w:ascii="仿宋_GB2312" w:hAnsi="宋体" w:eastAsia="仿宋_GB2312" w:cs="Times New Roman"/>
          <w:color w:val="000000"/>
          <w:sz w:val="24"/>
          <w:szCs w:val="24"/>
        </w:rPr>
        <w:t>论</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（三）</w:t>
      </w:r>
      <w:r>
        <w:rPr>
          <w:rFonts w:hint="eastAsia" w:ascii="仿宋_GB2312" w:hAnsi="宋体" w:eastAsia="仿宋_GB2312"/>
          <w:b/>
          <w:bCs/>
          <w:sz w:val="24"/>
          <w:szCs w:val="24"/>
          <w:lang w:eastAsia="zh-Hans"/>
        </w:rPr>
        <w:t>事故预防原理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人因失误理论和模型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事故因果连锁理论和模型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动态与变化的事故致因理论和模型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能量转移的事故致因理论</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5.</w:t>
      </w:r>
      <w:r>
        <w:rPr>
          <w:rFonts w:hint="eastAsia" w:ascii="仿宋_GB2312" w:hAnsi="宋体" w:eastAsia="仿宋_GB2312" w:cs="Times New Roman"/>
          <w:color w:val="000000"/>
          <w:sz w:val="24"/>
          <w:szCs w:val="24"/>
        </w:rPr>
        <w:t>能量流系统致灾与防灾模型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6.</w:t>
      </w:r>
      <w:r>
        <w:rPr>
          <w:rFonts w:hint="eastAsia" w:ascii="仿宋_GB2312" w:hAnsi="宋体" w:eastAsia="仿宋_GB2312" w:cs="Times New Roman"/>
          <w:color w:val="000000"/>
          <w:sz w:val="24"/>
          <w:szCs w:val="24"/>
        </w:rPr>
        <w:t>信息流事故致因模型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7.</w:t>
      </w:r>
      <w:r>
        <w:rPr>
          <w:rFonts w:hint="eastAsia" w:ascii="仿宋_GB2312" w:hAnsi="宋体" w:eastAsia="仿宋_GB2312" w:cs="Times New Roman"/>
          <w:color w:val="000000"/>
          <w:sz w:val="24"/>
          <w:szCs w:val="24"/>
        </w:rPr>
        <w:t>重大事故的复杂链式演化模型</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（四）</w:t>
      </w:r>
      <w:r>
        <w:rPr>
          <w:rFonts w:hint="eastAsia" w:ascii="仿宋_GB2312" w:hAnsi="宋体" w:eastAsia="仿宋_GB2312"/>
          <w:b/>
          <w:bCs/>
          <w:sz w:val="24"/>
          <w:szCs w:val="24"/>
        </w:rPr>
        <w:t>风险管理原理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风险概述</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风险管理的基本原则</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风险管理原理及其体系</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风险管理原理的应用方法</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（五）</w:t>
      </w:r>
      <w:r>
        <w:rPr>
          <w:rFonts w:hint="eastAsia" w:ascii="仿宋_GB2312" w:hAnsi="宋体" w:eastAsia="仿宋_GB2312"/>
          <w:b/>
          <w:bCs/>
          <w:sz w:val="24"/>
          <w:szCs w:val="24"/>
        </w:rPr>
        <w:t>安全模型原理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广义安全模型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行为安全管理元模型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安全信息与行为的系统安全</w:t>
      </w:r>
      <w:r>
        <w:rPr>
          <w:rFonts w:hint="eastAsia" w:ascii="仿宋_GB2312" w:hAnsi="宋体" w:eastAsia="仿宋_GB2312" w:cs="Times New Roman"/>
          <w:color w:val="000000"/>
          <w:sz w:val="24"/>
          <w:szCs w:val="24"/>
          <w:lang w:eastAsia="zh-Hans"/>
        </w:rPr>
        <w:t>模型</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安全教育信息传播模型</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（六）</w:t>
      </w:r>
      <w:r>
        <w:rPr>
          <w:rFonts w:hint="eastAsia" w:ascii="仿宋_GB2312" w:hAnsi="宋体" w:eastAsia="仿宋_GB2312"/>
          <w:b/>
          <w:bCs/>
          <w:sz w:val="24"/>
          <w:szCs w:val="24"/>
        </w:rPr>
        <w:t>安全人因科学原理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安全人性原理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安全人体学原理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安全生理学原理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安全心理学原理</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（七）</w:t>
      </w:r>
      <w:r>
        <w:rPr>
          <w:rFonts w:hint="eastAsia" w:ascii="仿宋_GB2312" w:hAnsi="宋体" w:eastAsia="仿宋_GB2312"/>
          <w:b/>
          <w:bCs/>
          <w:sz w:val="24"/>
          <w:szCs w:val="24"/>
        </w:rPr>
        <w:t>安全自然科学原理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安全多样性原理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安全容量原理</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（八）</w:t>
      </w:r>
      <w:r>
        <w:rPr>
          <w:rFonts w:hint="eastAsia" w:ascii="仿宋_GB2312" w:hAnsi="宋体" w:eastAsia="仿宋_GB2312"/>
          <w:b/>
          <w:bCs/>
          <w:sz w:val="24"/>
          <w:szCs w:val="24"/>
        </w:rPr>
        <w:t>安全技术科学原理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安全物质原理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本质安全原理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安全工程原理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安全大数据原理</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（九）</w:t>
      </w:r>
      <w:r>
        <w:rPr>
          <w:rFonts w:hint="eastAsia" w:ascii="仿宋_GB2312" w:hAnsi="宋体" w:eastAsia="仿宋_GB2312"/>
          <w:b/>
          <w:bCs/>
          <w:sz w:val="24"/>
          <w:szCs w:val="24"/>
          <w:lang w:eastAsia="zh-Hans"/>
        </w:rPr>
        <w:t>安全社会科学原理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安全文化原理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安全教育原理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安全经济学原理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安全法律法规原理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5.</w:t>
      </w:r>
      <w:r>
        <w:rPr>
          <w:rFonts w:hint="eastAsia" w:ascii="仿宋_GB2312" w:hAnsi="宋体" w:eastAsia="仿宋_GB2312" w:cs="Times New Roman"/>
          <w:color w:val="000000"/>
          <w:sz w:val="24"/>
          <w:szCs w:val="24"/>
        </w:rPr>
        <w:t>安全伦理道德原理</w:t>
      </w:r>
    </w:p>
    <w:p>
      <w:pPr>
        <w:numPr>
          <w:ilvl w:val="0"/>
          <w:numId w:val="0"/>
        </w:numPr>
        <w:tabs>
          <w:tab w:val="left" w:pos="907"/>
        </w:tabs>
        <w:spacing w:line="324" w:lineRule="auto"/>
        <w:ind w:left="1554" w:leftChars="0" w:hanging="1134" w:firstLineChars="0"/>
        <w:rPr>
          <w:rFonts w:hint="eastAsia" w:ascii="仿宋_GB2312" w:hAnsi="宋体" w:eastAsia="仿宋_GB2312"/>
          <w:b/>
          <w:bCs/>
          <w:sz w:val="24"/>
          <w:szCs w:val="24"/>
        </w:rPr>
      </w:pPr>
      <w:r>
        <w:rPr>
          <w:rFonts w:hint="eastAsia" w:ascii="仿宋_GB2312" w:hAnsi="宋体" w:eastAsia="仿宋_GB2312"/>
          <w:b/>
          <w:bCs w:val="0"/>
          <w:kern w:val="2"/>
          <w:sz w:val="24"/>
          <w:szCs w:val="24"/>
          <w:lang w:val="en-US" w:eastAsia="zh-CN" w:bidi="ar-SA"/>
        </w:rPr>
        <w:t>（十）</w:t>
      </w:r>
      <w:r>
        <w:rPr>
          <w:rFonts w:hint="eastAsia" w:ascii="仿宋_GB2312" w:hAnsi="宋体" w:eastAsia="仿宋_GB2312"/>
          <w:b/>
          <w:bCs/>
          <w:sz w:val="24"/>
          <w:szCs w:val="24"/>
          <w:lang w:eastAsia="zh-Hans"/>
        </w:rPr>
        <w:t>安全系统科学原理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1.</w:t>
      </w:r>
      <w:r>
        <w:rPr>
          <w:rFonts w:hint="eastAsia" w:ascii="仿宋_GB2312" w:hAnsi="宋体" w:eastAsia="仿宋_GB2312" w:cs="Times New Roman"/>
          <w:color w:val="000000"/>
          <w:sz w:val="24"/>
          <w:szCs w:val="24"/>
        </w:rPr>
        <w:t>安全人机系统原理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2.</w:t>
      </w:r>
      <w:r>
        <w:rPr>
          <w:rFonts w:hint="eastAsia" w:ascii="仿宋_GB2312" w:hAnsi="宋体" w:eastAsia="仿宋_GB2312" w:cs="Times New Roman"/>
          <w:color w:val="000000"/>
          <w:sz w:val="24"/>
          <w:szCs w:val="24"/>
        </w:rPr>
        <w:t>安全系统管理原理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3.</w:t>
      </w:r>
      <w:r>
        <w:rPr>
          <w:rFonts w:hint="eastAsia" w:ascii="仿宋_GB2312" w:hAnsi="宋体" w:eastAsia="仿宋_GB2312" w:cs="Times New Roman"/>
          <w:color w:val="000000"/>
          <w:sz w:val="24"/>
          <w:szCs w:val="24"/>
        </w:rPr>
        <w:t>系统信息安全原理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4.</w:t>
      </w:r>
      <w:r>
        <w:rPr>
          <w:rFonts w:hint="eastAsia" w:ascii="仿宋_GB2312" w:hAnsi="宋体" w:eastAsia="仿宋_GB2312" w:cs="Times New Roman"/>
          <w:color w:val="000000"/>
          <w:sz w:val="24"/>
          <w:szCs w:val="24"/>
        </w:rPr>
        <w:t>企业安全管理信息系统原理</w:t>
      </w:r>
    </w:p>
    <w:p>
      <w:pPr>
        <w:spacing w:line="324" w:lineRule="auto"/>
        <w:ind w:firstLine="480" w:firstLineChars="200"/>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val="en-US" w:eastAsia="zh-CN"/>
        </w:rPr>
        <w:t>5.</w:t>
      </w:r>
      <w:r>
        <w:rPr>
          <w:rFonts w:hint="eastAsia" w:ascii="仿宋_GB2312" w:hAnsi="宋体" w:eastAsia="仿宋_GB2312" w:cs="Times New Roman"/>
          <w:color w:val="000000"/>
          <w:sz w:val="24"/>
          <w:szCs w:val="24"/>
        </w:rPr>
        <w:t>安全系统工程原理</w:t>
      </w:r>
    </w:p>
    <w:p>
      <w:pPr>
        <w:spacing w:line="324" w:lineRule="auto"/>
        <w:rPr>
          <w:rFonts w:ascii="仿宋_GB2312" w:hAnsi="宋体" w:eastAsia="仿宋_GB2312"/>
          <w:sz w:val="24"/>
          <w:szCs w:val="24"/>
        </w:rPr>
      </w:pPr>
    </w:p>
    <w:p>
      <w:pPr>
        <w:tabs>
          <w:tab w:val="left" w:pos="1211"/>
        </w:tabs>
        <w:spacing w:line="324" w:lineRule="auto"/>
        <w:ind w:firstLine="2160" w:firstLineChars="900"/>
        <w:rPr>
          <w:rFonts w:ascii="仿宋_GB2312" w:hAnsi="宋体" w:eastAsia="仿宋_GB2312"/>
          <w:sz w:val="24"/>
          <w:szCs w:val="24"/>
        </w:rPr>
      </w:pPr>
      <w:r>
        <w:rPr>
          <w:rFonts w:hint="eastAsia" w:ascii="仿宋_GB2312" w:hAnsi="宋体" w:eastAsia="仿宋_GB2312"/>
          <w:sz w:val="24"/>
          <w:szCs w:val="24"/>
        </w:rPr>
        <w:t>学科（领域）负责人签字：</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日</w:t>
      </w:r>
    </w:p>
    <w:p>
      <w:pPr>
        <w:spacing w:line="324" w:lineRule="auto"/>
        <w:rPr>
          <w:rFonts w:hint="eastAsia" w:ascii="仿宋_GB2312" w:hAnsi="宋体" w:eastAsia="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TUxMDk1MjdmZDRkNzU2YzkzMDViZDg2ZWVlZDMifQ=="/>
  </w:docVars>
  <w:rsids>
    <w:rsidRoot w:val="008721B8"/>
    <w:rsid w:val="00040C37"/>
    <w:rsid w:val="00044853"/>
    <w:rsid w:val="00080C2D"/>
    <w:rsid w:val="0008203D"/>
    <w:rsid w:val="0010172B"/>
    <w:rsid w:val="00103E69"/>
    <w:rsid w:val="00132212"/>
    <w:rsid w:val="00135455"/>
    <w:rsid w:val="00172F20"/>
    <w:rsid w:val="00194683"/>
    <w:rsid w:val="001A120D"/>
    <w:rsid w:val="001A1439"/>
    <w:rsid w:val="003154CB"/>
    <w:rsid w:val="00354F21"/>
    <w:rsid w:val="00357D69"/>
    <w:rsid w:val="00394EAD"/>
    <w:rsid w:val="003D5DB4"/>
    <w:rsid w:val="003E401C"/>
    <w:rsid w:val="003E5335"/>
    <w:rsid w:val="00417178"/>
    <w:rsid w:val="00453A2E"/>
    <w:rsid w:val="004838D5"/>
    <w:rsid w:val="004A2603"/>
    <w:rsid w:val="004B79CA"/>
    <w:rsid w:val="004B7D11"/>
    <w:rsid w:val="005047FB"/>
    <w:rsid w:val="005049D3"/>
    <w:rsid w:val="0057459D"/>
    <w:rsid w:val="006452F2"/>
    <w:rsid w:val="006C1A00"/>
    <w:rsid w:val="006C6BBD"/>
    <w:rsid w:val="0072179C"/>
    <w:rsid w:val="00760445"/>
    <w:rsid w:val="0077539E"/>
    <w:rsid w:val="0081301B"/>
    <w:rsid w:val="00832298"/>
    <w:rsid w:val="00833A2C"/>
    <w:rsid w:val="00856F67"/>
    <w:rsid w:val="00866BAF"/>
    <w:rsid w:val="008721B8"/>
    <w:rsid w:val="008B7C4F"/>
    <w:rsid w:val="008E5D13"/>
    <w:rsid w:val="009063E4"/>
    <w:rsid w:val="00920E3A"/>
    <w:rsid w:val="00967805"/>
    <w:rsid w:val="00A7082F"/>
    <w:rsid w:val="00A97709"/>
    <w:rsid w:val="00AF4C9B"/>
    <w:rsid w:val="00B1017B"/>
    <w:rsid w:val="00B96ACC"/>
    <w:rsid w:val="00BA266B"/>
    <w:rsid w:val="00BA486E"/>
    <w:rsid w:val="00BD10D1"/>
    <w:rsid w:val="00C4179F"/>
    <w:rsid w:val="00CA6E13"/>
    <w:rsid w:val="00D06FAD"/>
    <w:rsid w:val="00D11EEE"/>
    <w:rsid w:val="00D5446F"/>
    <w:rsid w:val="00DC1186"/>
    <w:rsid w:val="00DE27A3"/>
    <w:rsid w:val="00E3523E"/>
    <w:rsid w:val="00ED40EE"/>
    <w:rsid w:val="00F15582"/>
    <w:rsid w:val="00F322E9"/>
    <w:rsid w:val="00F61247"/>
    <w:rsid w:val="00F64E09"/>
    <w:rsid w:val="00FB1629"/>
    <w:rsid w:val="073D7D94"/>
    <w:rsid w:val="0A765F0A"/>
    <w:rsid w:val="0FE30AB4"/>
    <w:rsid w:val="11AA7B11"/>
    <w:rsid w:val="2A6356A7"/>
    <w:rsid w:val="495F5025"/>
    <w:rsid w:val="4C84237A"/>
    <w:rsid w:val="56194878"/>
    <w:rsid w:val="5E445E54"/>
    <w:rsid w:val="5F8476FB"/>
    <w:rsid w:val="725D3437"/>
    <w:rsid w:val="7563176E"/>
    <w:rsid w:val="775D17E4"/>
    <w:rsid w:val="7F7D62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spacing w:line="360" w:lineRule="auto"/>
      <w:ind w:firstLine="480" w:firstLineChars="200"/>
    </w:pPr>
    <w:rPr>
      <w:rFonts w:ascii="宋体" w:hAnsi="宋体"/>
      <w:sz w:val="24"/>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0"/>
    <w:rPr>
      <w:kern w:val="2"/>
      <w:sz w:val="18"/>
      <w:szCs w:val="18"/>
    </w:rPr>
  </w:style>
  <w:style w:type="character" w:customStyle="1" w:styleId="8">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联想（北京）有限公司</Company>
  <Pages>4</Pages>
  <Words>1791</Words>
  <Characters>1809</Characters>
  <Lines>14</Lines>
  <Paragraphs>4</Paragraphs>
  <TotalTime>2</TotalTime>
  <ScaleCrop>false</ScaleCrop>
  <LinksUpToDate>false</LinksUpToDate>
  <CharactersWithSpaces>1857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2020-08-11T08:40:00Z</dcterms:created>
  <dc:creator>Lenovo User</dc:creator>
  <cp:lastModifiedBy>vertesyuan</cp:lastModifiedBy>
  <dcterms:modified xsi:type="dcterms:W3CDTF">2024-01-09T05:51:51Z</dcterms:modified>
  <dc:title>环境学概论考试大纲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D35D871D719F462B95BE8FB5BD3234D3_13</vt:lpwstr>
  </property>
</Properties>
</file>