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2"/>
          <w:szCs w:val="32"/>
        </w:rPr>
      </w:pPr>
      <w:bookmarkStart w:id="2" w:name="_GoBack"/>
      <w:bookmarkEnd w:id="2"/>
      <w:r>
        <w:rPr>
          <w:rFonts w:hint="eastAsia" w:ascii="黑体" w:eastAsia="黑体"/>
          <w:sz w:val="32"/>
          <w:szCs w:val="32"/>
        </w:rPr>
        <w:t>337-工业设计工程</w:t>
      </w:r>
    </w:p>
    <w:p>
      <w:pPr>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0"/>
        <w:rPr>
          <w:rFonts w:hint="eastAsia" w:ascii="黑体" w:hAnsi="Calibri" w:eastAsia="黑体"/>
          <w:bCs/>
          <w:szCs w:val="21"/>
        </w:rPr>
      </w:pPr>
      <w:r>
        <w:rPr>
          <w:rFonts w:hint="eastAsia" w:ascii="黑体" w:hAnsi="宋体" w:eastAsia="黑体"/>
          <w:bCs/>
          <w:szCs w:val="21"/>
        </w:rPr>
        <w:t>一、考试目标</w:t>
      </w:r>
    </w:p>
    <w:p>
      <w:pPr>
        <w:spacing w:line="400" w:lineRule="exact"/>
        <w:ind w:firstLine="315" w:firstLineChars="150"/>
        <w:rPr>
          <w:rFonts w:hint="eastAsia" w:ascii="Calibri" w:hAnsi="Calibri"/>
          <w:szCs w:val="21"/>
        </w:rPr>
      </w:pPr>
      <w:r>
        <w:rPr>
          <w:rFonts w:ascii="Calibri" w:hAnsi="宋体"/>
          <w:szCs w:val="21"/>
        </w:rPr>
        <w:t>《设计理论》考试是为招收设计学</w:t>
      </w:r>
      <w:r>
        <w:rPr>
          <w:rFonts w:hint="eastAsia" w:ascii="Calibri" w:hAnsi="宋体"/>
          <w:szCs w:val="21"/>
        </w:rPr>
        <w:t>学术</w:t>
      </w:r>
      <w:r>
        <w:rPr>
          <w:rFonts w:ascii="Calibri" w:hAnsi="宋体"/>
          <w:szCs w:val="21"/>
        </w:rPr>
        <w:t>硕士</w:t>
      </w:r>
      <w:r>
        <w:rPr>
          <w:rFonts w:hint="eastAsia" w:ascii="Calibri" w:hAnsi="宋体"/>
          <w:szCs w:val="21"/>
        </w:rPr>
        <w:t>和机械类别工业设计工程方向的专业硕士</w:t>
      </w:r>
      <w:r>
        <w:rPr>
          <w:rFonts w:ascii="Calibri" w:hAnsi="宋体"/>
          <w:szCs w:val="21"/>
        </w:rPr>
        <w:t>而设置的具有选拔性质的考试科目，其目的是科学、公平、有效地测试考生是否具备攻读硕士所必须的基本素质、创新能力和培养潜能，为国家的经济建设培养具有良好理论基础和知识体系、具有较强分析与解决实际问题能力的高层次、应用型、复合型的设计专业人才。</w:t>
      </w:r>
    </w:p>
    <w:p>
      <w:pPr>
        <w:spacing w:line="400" w:lineRule="exact"/>
        <w:ind w:firstLine="420" w:firstLineChars="200"/>
        <w:rPr>
          <w:rFonts w:hint="eastAsia" w:ascii="Calibri" w:hAnsi="宋体"/>
          <w:szCs w:val="21"/>
        </w:rPr>
      </w:pPr>
      <w:r>
        <w:rPr>
          <w:rFonts w:ascii="Calibri" w:hAnsi="宋体"/>
          <w:szCs w:val="21"/>
        </w:rPr>
        <w:t>具体来说。要求考生：</w:t>
      </w:r>
    </w:p>
    <w:p>
      <w:pPr>
        <w:spacing w:line="400" w:lineRule="exact"/>
        <w:ind w:firstLine="420" w:firstLineChars="200"/>
        <w:rPr>
          <w:rFonts w:hint="eastAsia" w:ascii="Calibri" w:hAnsi="宋体"/>
          <w:szCs w:val="21"/>
        </w:rPr>
      </w:pPr>
      <w:r>
        <w:rPr>
          <w:rFonts w:hint="eastAsia" w:ascii="Calibri" w:hAnsi="宋体"/>
          <w:szCs w:val="21"/>
        </w:rPr>
        <w:t>1．</w:t>
      </w:r>
      <w:r>
        <w:rPr>
          <w:rFonts w:ascii="Calibri" w:hAnsi="宋体"/>
          <w:szCs w:val="21"/>
        </w:rPr>
        <w:t>掌握工业设计史的基本理论和知识。</w:t>
      </w:r>
    </w:p>
    <w:p>
      <w:pPr>
        <w:spacing w:line="400" w:lineRule="exact"/>
        <w:ind w:firstLine="420" w:firstLineChars="200"/>
        <w:rPr>
          <w:rFonts w:hint="eastAsia" w:ascii="Calibri" w:hAnsi="宋体"/>
          <w:szCs w:val="21"/>
        </w:rPr>
      </w:pPr>
      <w:r>
        <w:rPr>
          <w:rFonts w:hint="eastAsia" w:ascii="Calibri" w:hAnsi="宋体"/>
          <w:szCs w:val="21"/>
        </w:rPr>
        <w:t>2．</w:t>
      </w:r>
      <w:r>
        <w:rPr>
          <w:rFonts w:ascii="Calibri" w:hAnsi="宋体"/>
          <w:szCs w:val="21"/>
        </w:rPr>
        <w:t>掌握人机工程学的基本原理和方法。</w:t>
      </w:r>
    </w:p>
    <w:p>
      <w:pPr>
        <w:spacing w:line="400" w:lineRule="exact"/>
        <w:ind w:firstLine="420" w:firstLineChars="200"/>
        <w:rPr>
          <w:rFonts w:hint="eastAsia" w:ascii="Calibri" w:hAnsi="宋体"/>
          <w:szCs w:val="21"/>
        </w:rPr>
      </w:pPr>
      <w:r>
        <w:rPr>
          <w:rFonts w:hint="eastAsia" w:ascii="Calibri" w:hAnsi="宋体"/>
          <w:szCs w:val="21"/>
        </w:rPr>
        <w:t>3．</w:t>
      </w:r>
      <w:r>
        <w:rPr>
          <w:rFonts w:ascii="Calibri" w:hAnsi="宋体"/>
          <w:szCs w:val="21"/>
        </w:rPr>
        <w:t>对设计理论及发展趋势有一定的认识。</w:t>
      </w:r>
    </w:p>
    <w:p>
      <w:pPr>
        <w:spacing w:line="400" w:lineRule="exact"/>
        <w:ind w:firstLine="420" w:firstLineChars="200"/>
        <w:rPr>
          <w:rFonts w:ascii="Calibri" w:hAnsi="Calibri"/>
          <w:szCs w:val="21"/>
        </w:rPr>
      </w:pPr>
      <w:r>
        <w:rPr>
          <w:rFonts w:hint="eastAsia" w:ascii="Calibri" w:hAnsi="宋体"/>
          <w:szCs w:val="21"/>
        </w:rPr>
        <w:t>4．</w:t>
      </w:r>
      <w:r>
        <w:rPr>
          <w:rFonts w:ascii="Calibri" w:hAnsi="宋体"/>
          <w:szCs w:val="21"/>
        </w:rPr>
        <w:t>具有运用绘图工具完成设计表现的能力。</w:t>
      </w:r>
    </w:p>
    <w:p>
      <w:pPr>
        <w:spacing w:line="400" w:lineRule="exact"/>
        <w:ind w:firstLine="210" w:firstLineChars="100"/>
        <w:rPr>
          <w:rFonts w:ascii="Calibri" w:hAnsi="Calibri"/>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0"/>
        <w:rPr>
          <w:rFonts w:hint="eastAsia" w:ascii="黑体" w:hAnsi="宋体" w:eastAsia="黑体" w:cs="Times New Roman"/>
          <w:bCs/>
          <w:szCs w:val="21"/>
        </w:rPr>
      </w:pPr>
      <w:bookmarkStart w:id="0" w:name="_Toc267168191"/>
      <w:r>
        <w:rPr>
          <w:rFonts w:hint="eastAsia" w:ascii="黑体" w:hAnsi="宋体" w:eastAsia="黑体" w:cs="Times New Roman"/>
          <w:bCs/>
          <w:szCs w:val="21"/>
        </w:rPr>
        <w:t>二、考试</w:t>
      </w:r>
      <w:bookmarkEnd w:id="0"/>
      <w:r>
        <w:rPr>
          <w:rFonts w:hint="eastAsia" w:ascii="黑体" w:hAnsi="宋体" w:eastAsia="黑体" w:cs="Times New Roman"/>
          <w:bCs/>
          <w:szCs w:val="21"/>
        </w:rPr>
        <w:t>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Calibri" w:hAnsi="Calibri"/>
          <w:szCs w:val="21"/>
        </w:rPr>
      </w:pPr>
      <w:r>
        <w:rPr>
          <w:rFonts w:ascii="Calibri" w:hAnsi="Calibri"/>
          <w:szCs w:val="21"/>
        </w:rPr>
        <w:t xml:space="preserve">1. </w:t>
      </w:r>
      <w:r>
        <w:rPr>
          <w:rFonts w:ascii="Calibri" w:hAnsi="宋体"/>
          <w:szCs w:val="21"/>
        </w:rPr>
        <w:t>试卷满分及考试</w:t>
      </w:r>
      <w:r>
        <w:rPr>
          <w:rFonts w:ascii="Calibri" w:hAnsi="Calibri" w:eastAsia="宋体" w:cs="Times New Roman"/>
          <w:szCs w:val="21"/>
        </w:rPr>
        <w:t>时间</w:t>
      </w:r>
    </w:p>
    <w:p>
      <w:pPr>
        <w:spacing w:line="400" w:lineRule="exact"/>
        <w:ind w:firstLine="420" w:firstLineChars="200"/>
        <w:rPr>
          <w:rFonts w:ascii="Calibri" w:hAnsi="Calibri"/>
          <w:szCs w:val="21"/>
        </w:rPr>
      </w:pPr>
      <w:r>
        <w:rPr>
          <w:rFonts w:ascii="Calibri" w:hAnsi="宋体"/>
          <w:szCs w:val="21"/>
        </w:rPr>
        <w:t>试卷满分为</w:t>
      </w:r>
      <w:r>
        <w:rPr>
          <w:rFonts w:ascii="Calibri" w:hAnsi="Calibri"/>
          <w:szCs w:val="21"/>
        </w:rPr>
        <w:t>150</w:t>
      </w:r>
      <w:r>
        <w:rPr>
          <w:rFonts w:ascii="Calibri" w:hAnsi="宋体"/>
          <w:szCs w:val="21"/>
        </w:rPr>
        <w:t>分，考试时间</w:t>
      </w:r>
      <w:r>
        <w:rPr>
          <w:rFonts w:ascii="Calibri" w:hAnsi="Calibri"/>
          <w:szCs w:val="21"/>
        </w:rPr>
        <w:t>180</w:t>
      </w:r>
      <w:r>
        <w:rPr>
          <w:rFonts w:ascii="Calibri" w:hAnsi="宋体"/>
          <w:szCs w:val="21"/>
        </w:rPr>
        <w:t>分钟。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Calibri" w:hAnsi="Calibri" w:eastAsia="宋体" w:cs="Times New Roman"/>
          <w:szCs w:val="21"/>
        </w:rPr>
      </w:pPr>
      <w:r>
        <w:rPr>
          <w:rFonts w:ascii="Calibri" w:hAnsi="Calibri" w:eastAsia="宋体" w:cs="Times New Roman"/>
          <w:szCs w:val="21"/>
        </w:rPr>
        <w:t>2. 答题方式</w:t>
      </w:r>
    </w:p>
    <w:p>
      <w:pPr>
        <w:spacing w:line="400" w:lineRule="exact"/>
        <w:ind w:firstLine="420" w:firstLineChars="200"/>
        <w:rPr>
          <w:rFonts w:ascii="Calibri" w:hAnsi="Calibri"/>
          <w:szCs w:val="21"/>
        </w:rPr>
      </w:pPr>
      <w:r>
        <w:rPr>
          <w:rFonts w:ascii="Calibri" w:hAnsi="宋体"/>
          <w:szCs w:val="21"/>
        </w:rPr>
        <w:t>答题方式为闭卷、笔试。允许使用绘图工具。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Calibri" w:hAnsi="Calibri" w:eastAsia="宋体" w:cs="Times New Roman"/>
          <w:szCs w:val="21"/>
        </w:rPr>
      </w:pPr>
      <w:r>
        <w:rPr>
          <w:rFonts w:hint="eastAsia" w:ascii="Calibri" w:hAnsi="Calibri" w:eastAsia="宋体" w:cs="Times New Roman"/>
          <w:szCs w:val="21"/>
        </w:rPr>
        <w:t>3．</w:t>
      </w:r>
      <w:r>
        <w:rPr>
          <w:rFonts w:ascii="Calibri" w:hAnsi="Calibri" w:eastAsia="宋体" w:cs="Times New Roman"/>
          <w:szCs w:val="21"/>
        </w:rPr>
        <w:t>试卷内容与题型结构</w:t>
      </w:r>
    </w:p>
    <w:p>
      <w:pPr>
        <w:spacing w:line="400" w:lineRule="exact"/>
        <w:ind w:firstLine="420" w:firstLineChars="200"/>
        <w:rPr>
          <w:rFonts w:hint="eastAsia" w:ascii="Calibri" w:hAnsi="宋体"/>
          <w:szCs w:val="21"/>
        </w:rPr>
      </w:pPr>
      <w:bookmarkStart w:id="1" w:name="_Toc267168192"/>
      <w:r>
        <w:rPr>
          <w:rFonts w:ascii="Calibri" w:hAnsi="宋体"/>
          <w:szCs w:val="21"/>
        </w:rPr>
        <w:t>考试内容包括人机工程学、工业设计史、设计理论与发展趋势，试卷题型一般分为简述、论述、案例分析等。</w:t>
      </w:r>
    </w:p>
    <w:p>
      <w:pPr>
        <w:spacing w:line="400" w:lineRule="exact"/>
        <w:ind w:firstLine="420" w:firstLineChars="200"/>
        <w:rPr>
          <w:rFonts w:hint="eastAsia" w:ascii="Calibri" w:hAnsi="Calibri"/>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0"/>
        <w:rPr>
          <w:rFonts w:hint="eastAsia" w:ascii="黑体" w:hAnsi="宋体" w:eastAsia="黑体" w:cs="Times New Roman"/>
          <w:bCs/>
          <w:szCs w:val="21"/>
        </w:rPr>
      </w:pPr>
      <w:r>
        <w:rPr>
          <w:rFonts w:hint="eastAsia" w:ascii="黑体" w:hAnsi="宋体" w:eastAsia="黑体" w:cs="Times New Roman"/>
          <w:bCs/>
          <w:szCs w:val="21"/>
        </w:rPr>
        <w:t>三、考试内容</w:t>
      </w:r>
      <w:bookmarkEnd w:id="1"/>
    </w:p>
    <w:p>
      <w:pPr>
        <w:keepNext w:val="0"/>
        <w:keepLines w:val="0"/>
        <w:pageBreakBefore w:val="0"/>
        <w:widowControl w:val="0"/>
        <w:tabs>
          <w:tab w:val="left" w:pos="540"/>
        </w:tabs>
        <w:kinsoku/>
        <w:wordWrap/>
        <w:overflowPunct/>
        <w:topLinePunct w:val="0"/>
        <w:autoSpaceDE/>
        <w:autoSpaceDN/>
        <w:bidi w:val="0"/>
        <w:adjustRightInd/>
        <w:snapToGrid/>
        <w:spacing w:line="400" w:lineRule="exact"/>
        <w:ind w:firstLine="422" w:firstLineChars="200"/>
        <w:textAlignment w:val="auto"/>
        <w:rPr>
          <w:rFonts w:ascii="Calibri" w:hAnsi="Calibri"/>
          <w:b/>
          <w:szCs w:val="21"/>
        </w:rPr>
      </w:pPr>
      <w:r>
        <w:rPr>
          <w:rFonts w:ascii="Calibri" w:hAnsi="宋体"/>
          <w:b/>
          <w:szCs w:val="21"/>
        </w:rPr>
        <w:t>（一）人机工程学</w:t>
      </w:r>
    </w:p>
    <w:p>
      <w:pPr>
        <w:spacing w:line="400" w:lineRule="exact"/>
        <w:ind w:left="288" w:firstLine="210" w:firstLineChars="1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日常生活中与人机工程学相关的例子</w:t>
      </w:r>
    </w:p>
    <w:p>
      <w:pPr>
        <w:spacing w:line="400" w:lineRule="exact"/>
        <w:ind w:left="288" w:firstLine="210" w:firstLineChars="1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人机工程学与工业设计的关系</w:t>
      </w:r>
    </w:p>
    <w:p>
      <w:pPr>
        <w:spacing w:line="400" w:lineRule="exact"/>
        <w:ind w:left="288" w:firstLine="210" w:firstLineChars="1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分析产品存在的人机问题并提出解决方案</w:t>
      </w:r>
    </w:p>
    <w:p>
      <w:pPr>
        <w:spacing w:line="400" w:lineRule="exact"/>
        <w:ind w:left="288" w:firstLine="210" w:firstLineChars="1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人体尺寸数据的特征</w:t>
      </w:r>
    </w:p>
    <w:p>
      <w:pPr>
        <w:spacing w:line="400" w:lineRule="exact"/>
        <w:ind w:left="288" w:firstLine="210" w:firstLineChars="100"/>
        <w:rPr>
          <w:rFonts w:ascii="Calibri" w:hAnsi="Calibri"/>
          <w:szCs w:val="21"/>
        </w:rPr>
      </w:pPr>
      <w:r>
        <w:rPr>
          <w:rFonts w:ascii="Calibri" w:hAnsi="Calibri"/>
          <w:szCs w:val="21"/>
        </w:rPr>
        <w:t>5</w:t>
      </w:r>
      <w:r>
        <w:rPr>
          <w:rFonts w:hint="eastAsia" w:ascii="Calibri" w:hAnsi="宋体"/>
          <w:szCs w:val="21"/>
        </w:rPr>
        <w:t>．</w:t>
      </w:r>
      <w:r>
        <w:rPr>
          <w:rFonts w:ascii="Calibri" w:hAnsi="宋体"/>
          <w:szCs w:val="21"/>
        </w:rPr>
        <w:t>人体测量数据应用的原则</w:t>
      </w:r>
    </w:p>
    <w:p>
      <w:pPr>
        <w:spacing w:line="400" w:lineRule="exact"/>
        <w:ind w:left="288" w:firstLine="210" w:firstLineChars="100"/>
        <w:rPr>
          <w:rFonts w:ascii="Calibri" w:hAnsi="Calibri"/>
          <w:szCs w:val="21"/>
        </w:rPr>
      </w:pPr>
      <w:r>
        <w:rPr>
          <w:rFonts w:ascii="Calibri" w:hAnsi="Calibri"/>
          <w:szCs w:val="21"/>
        </w:rPr>
        <w:t>6</w:t>
      </w:r>
      <w:r>
        <w:rPr>
          <w:rFonts w:hint="eastAsia" w:ascii="Calibri" w:hAnsi="宋体"/>
          <w:szCs w:val="21"/>
        </w:rPr>
        <w:t>．</w:t>
      </w:r>
      <w:r>
        <w:rPr>
          <w:rFonts w:ascii="Calibri" w:hAnsi="宋体"/>
          <w:szCs w:val="21"/>
        </w:rPr>
        <w:t>人体尺寸修正量的意义及构成</w:t>
      </w:r>
    </w:p>
    <w:p>
      <w:pPr>
        <w:spacing w:line="400" w:lineRule="exact"/>
        <w:ind w:left="288" w:firstLine="210" w:firstLineChars="100"/>
        <w:rPr>
          <w:rFonts w:ascii="Calibri" w:hAnsi="Calibri"/>
          <w:szCs w:val="21"/>
        </w:rPr>
      </w:pPr>
      <w:r>
        <w:rPr>
          <w:rFonts w:ascii="Calibri" w:hAnsi="Calibri"/>
          <w:szCs w:val="21"/>
        </w:rPr>
        <w:t>7</w:t>
      </w:r>
      <w:r>
        <w:rPr>
          <w:rFonts w:hint="eastAsia" w:ascii="Calibri" w:hAnsi="宋体"/>
          <w:szCs w:val="21"/>
        </w:rPr>
        <w:t>．</w:t>
      </w:r>
      <w:r>
        <w:rPr>
          <w:rFonts w:ascii="Calibri" w:hAnsi="宋体"/>
          <w:szCs w:val="21"/>
        </w:rPr>
        <w:t>心理修正量</w:t>
      </w:r>
    </w:p>
    <w:p>
      <w:pPr>
        <w:spacing w:line="400" w:lineRule="exact"/>
        <w:ind w:left="288" w:firstLine="210" w:firstLineChars="100"/>
        <w:rPr>
          <w:rFonts w:ascii="Calibri" w:hAnsi="Calibri"/>
          <w:szCs w:val="21"/>
        </w:rPr>
      </w:pPr>
      <w:r>
        <w:rPr>
          <w:rFonts w:ascii="Calibri" w:hAnsi="Calibri"/>
          <w:szCs w:val="21"/>
        </w:rPr>
        <w:t>8</w:t>
      </w:r>
      <w:r>
        <w:rPr>
          <w:rFonts w:hint="eastAsia" w:ascii="Calibri" w:hAnsi="宋体"/>
          <w:szCs w:val="21"/>
        </w:rPr>
        <w:t>．</w:t>
      </w:r>
      <w:r>
        <w:rPr>
          <w:rFonts w:ascii="Calibri" w:hAnsi="宋体"/>
          <w:szCs w:val="21"/>
        </w:rPr>
        <w:t>视野及视野的分类</w:t>
      </w:r>
    </w:p>
    <w:p>
      <w:pPr>
        <w:spacing w:line="400" w:lineRule="exact"/>
        <w:ind w:left="288" w:firstLine="210" w:firstLineChars="100"/>
        <w:rPr>
          <w:rFonts w:ascii="Calibri" w:hAnsi="Calibri"/>
          <w:szCs w:val="21"/>
        </w:rPr>
      </w:pPr>
      <w:r>
        <w:rPr>
          <w:rFonts w:ascii="Calibri" w:hAnsi="Calibri"/>
          <w:szCs w:val="21"/>
        </w:rPr>
        <w:t>9</w:t>
      </w:r>
      <w:r>
        <w:rPr>
          <w:rFonts w:hint="eastAsia" w:ascii="Calibri" w:hAnsi="宋体"/>
          <w:szCs w:val="21"/>
        </w:rPr>
        <w:t>．</w:t>
      </w:r>
      <w:r>
        <w:rPr>
          <w:rFonts w:ascii="Calibri" w:hAnsi="宋体"/>
          <w:szCs w:val="21"/>
        </w:rPr>
        <w:t>操纵力与反应时间</w:t>
      </w:r>
    </w:p>
    <w:p>
      <w:pPr>
        <w:spacing w:line="400" w:lineRule="exact"/>
        <w:ind w:left="288" w:firstLine="210" w:firstLineChars="100"/>
        <w:rPr>
          <w:rFonts w:ascii="Calibri" w:hAnsi="Calibri"/>
          <w:szCs w:val="21"/>
        </w:rPr>
      </w:pPr>
      <w:r>
        <w:rPr>
          <w:rFonts w:ascii="Calibri" w:hAnsi="Calibri"/>
          <w:szCs w:val="21"/>
        </w:rPr>
        <w:t>10</w:t>
      </w:r>
      <w:r>
        <w:rPr>
          <w:rFonts w:hint="eastAsia" w:ascii="Calibri" w:hAnsi="宋体"/>
          <w:szCs w:val="21"/>
        </w:rPr>
        <w:t>．</w:t>
      </w:r>
      <w:r>
        <w:rPr>
          <w:rFonts w:ascii="Calibri" w:hAnsi="宋体"/>
          <w:szCs w:val="21"/>
        </w:rPr>
        <w:t>运动准确性</w:t>
      </w:r>
    </w:p>
    <w:p>
      <w:pPr>
        <w:spacing w:line="400" w:lineRule="exact"/>
        <w:ind w:left="288" w:firstLine="210" w:firstLineChars="100"/>
        <w:rPr>
          <w:rFonts w:ascii="Calibri" w:hAnsi="Calibri"/>
          <w:szCs w:val="21"/>
        </w:rPr>
      </w:pPr>
      <w:r>
        <w:rPr>
          <w:rFonts w:ascii="Calibri" w:hAnsi="Calibri"/>
          <w:szCs w:val="21"/>
        </w:rPr>
        <w:t>11</w:t>
      </w:r>
      <w:r>
        <w:rPr>
          <w:rFonts w:hint="eastAsia" w:ascii="Calibri" w:hAnsi="宋体"/>
          <w:szCs w:val="21"/>
        </w:rPr>
        <w:t>．</w:t>
      </w:r>
      <w:r>
        <w:rPr>
          <w:rFonts w:ascii="Calibri" w:hAnsi="宋体"/>
          <w:szCs w:val="21"/>
        </w:rPr>
        <w:t>感觉与知觉</w:t>
      </w:r>
    </w:p>
    <w:p>
      <w:pPr>
        <w:spacing w:line="400" w:lineRule="exact"/>
        <w:ind w:left="288" w:firstLine="210" w:firstLineChars="100"/>
        <w:rPr>
          <w:rFonts w:ascii="Calibri" w:hAnsi="Calibri"/>
          <w:szCs w:val="21"/>
        </w:rPr>
      </w:pPr>
      <w:r>
        <w:rPr>
          <w:rFonts w:ascii="Calibri" w:hAnsi="Calibri"/>
          <w:szCs w:val="21"/>
        </w:rPr>
        <w:t>12</w:t>
      </w:r>
      <w:r>
        <w:rPr>
          <w:rFonts w:hint="eastAsia" w:ascii="Calibri" w:hAnsi="宋体"/>
          <w:szCs w:val="21"/>
        </w:rPr>
        <w:t>．</w:t>
      </w:r>
      <w:r>
        <w:rPr>
          <w:rFonts w:ascii="Calibri" w:hAnsi="宋体"/>
          <w:szCs w:val="21"/>
        </w:rPr>
        <w:t>视错觉的种类及其在在设计中的作用</w:t>
      </w:r>
    </w:p>
    <w:p>
      <w:pPr>
        <w:spacing w:line="400" w:lineRule="exact"/>
        <w:ind w:left="288" w:firstLine="210" w:firstLineChars="100"/>
        <w:rPr>
          <w:rFonts w:ascii="Calibri" w:hAnsi="Calibri"/>
          <w:szCs w:val="21"/>
        </w:rPr>
      </w:pPr>
      <w:r>
        <w:rPr>
          <w:rFonts w:ascii="Calibri" w:hAnsi="Calibri"/>
          <w:szCs w:val="21"/>
        </w:rPr>
        <w:t>13</w:t>
      </w:r>
      <w:r>
        <w:rPr>
          <w:rFonts w:hint="eastAsia" w:ascii="Calibri" w:hAnsi="宋体"/>
          <w:szCs w:val="21"/>
        </w:rPr>
        <w:t>．</w:t>
      </w:r>
      <w:r>
        <w:rPr>
          <w:rFonts w:ascii="Calibri" w:hAnsi="宋体"/>
          <w:szCs w:val="21"/>
        </w:rPr>
        <w:t>人机的信息界面与信息界面模型</w:t>
      </w:r>
    </w:p>
    <w:p>
      <w:pPr>
        <w:spacing w:line="400" w:lineRule="exact"/>
        <w:ind w:left="288" w:firstLine="210" w:firstLineChars="100"/>
        <w:rPr>
          <w:rFonts w:ascii="Calibri" w:hAnsi="Calibri"/>
          <w:szCs w:val="21"/>
        </w:rPr>
      </w:pPr>
      <w:r>
        <w:rPr>
          <w:rFonts w:ascii="Calibri" w:hAnsi="Calibri"/>
          <w:szCs w:val="21"/>
        </w:rPr>
        <w:t>14</w:t>
      </w:r>
      <w:r>
        <w:rPr>
          <w:rFonts w:hint="eastAsia" w:ascii="Calibri" w:hAnsi="宋体"/>
          <w:szCs w:val="21"/>
        </w:rPr>
        <w:t>．</w:t>
      </w:r>
      <w:r>
        <w:rPr>
          <w:rFonts w:ascii="Calibri" w:hAnsi="宋体"/>
          <w:szCs w:val="21"/>
        </w:rPr>
        <w:t>数字式显示和指针式模拟显示</w:t>
      </w:r>
    </w:p>
    <w:p>
      <w:pPr>
        <w:spacing w:line="400" w:lineRule="exact"/>
        <w:ind w:left="288" w:firstLine="210" w:firstLineChars="100"/>
        <w:rPr>
          <w:rFonts w:ascii="Calibri" w:hAnsi="Calibri"/>
          <w:szCs w:val="21"/>
        </w:rPr>
      </w:pPr>
      <w:r>
        <w:rPr>
          <w:rFonts w:ascii="Calibri" w:hAnsi="Calibri"/>
          <w:szCs w:val="21"/>
        </w:rPr>
        <w:t>15</w:t>
      </w:r>
      <w:r>
        <w:rPr>
          <w:rFonts w:hint="eastAsia" w:ascii="Calibri" w:hAnsi="宋体"/>
          <w:szCs w:val="21"/>
        </w:rPr>
        <w:t>．</w:t>
      </w:r>
      <w:r>
        <w:rPr>
          <w:rFonts w:ascii="Calibri" w:hAnsi="宋体"/>
          <w:szCs w:val="21"/>
        </w:rPr>
        <w:t>听觉传示装置</w:t>
      </w:r>
    </w:p>
    <w:p>
      <w:pPr>
        <w:spacing w:line="400" w:lineRule="exact"/>
        <w:ind w:left="288" w:firstLine="210" w:firstLineChars="100"/>
        <w:rPr>
          <w:rFonts w:ascii="Calibri" w:hAnsi="Calibri"/>
          <w:szCs w:val="21"/>
        </w:rPr>
      </w:pPr>
      <w:r>
        <w:rPr>
          <w:rFonts w:ascii="Calibri" w:hAnsi="Calibri"/>
          <w:szCs w:val="21"/>
        </w:rPr>
        <w:t>16</w:t>
      </w:r>
      <w:r>
        <w:rPr>
          <w:rFonts w:hint="eastAsia" w:ascii="Calibri" w:hAnsi="宋体"/>
          <w:szCs w:val="21"/>
        </w:rPr>
        <w:t>．</w:t>
      </w:r>
      <w:r>
        <w:rPr>
          <w:rFonts w:ascii="Calibri" w:hAnsi="宋体"/>
          <w:szCs w:val="21"/>
        </w:rPr>
        <w:t>仪表显示器指针的设计</w:t>
      </w:r>
    </w:p>
    <w:p>
      <w:pPr>
        <w:spacing w:line="400" w:lineRule="exact"/>
        <w:ind w:left="288" w:firstLine="210" w:firstLineChars="100"/>
        <w:rPr>
          <w:rFonts w:ascii="Calibri" w:hAnsi="Calibri"/>
          <w:szCs w:val="21"/>
        </w:rPr>
      </w:pPr>
      <w:r>
        <w:rPr>
          <w:rFonts w:ascii="Calibri" w:hAnsi="Calibri"/>
          <w:szCs w:val="21"/>
        </w:rPr>
        <w:t>17</w:t>
      </w:r>
      <w:r>
        <w:rPr>
          <w:rFonts w:hint="eastAsia" w:ascii="Calibri" w:hAnsi="宋体"/>
          <w:szCs w:val="21"/>
        </w:rPr>
        <w:t>．</w:t>
      </w:r>
      <w:r>
        <w:rPr>
          <w:rFonts w:ascii="Calibri" w:hAnsi="宋体"/>
          <w:szCs w:val="21"/>
        </w:rPr>
        <w:t>常用的操纵器，操纵装置的人机工程学因素</w:t>
      </w:r>
    </w:p>
    <w:p>
      <w:pPr>
        <w:spacing w:line="400" w:lineRule="exact"/>
        <w:ind w:left="288" w:firstLine="210" w:firstLineChars="100"/>
        <w:rPr>
          <w:rFonts w:ascii="Calibri" w:hAnsi="Calibri"/>
          <w:szCs w:val="21"/>
        </w:rPr>
      </w:pPr>
      <w:r>
        <w:rPr>
          <w:rFonts w:ascii="Calibri" w:hAnsi="Calibri"/>
          <w:szCs w:val="21"/>
        </w:rPr>
        <w:t>18</w:t>
      </w:r>
      <w:r>
        <w:rPr>
          <w:rFonts w:hint="eastAsia" w:ascii="Calibri" w:hAnsi="宋体"/>
          <w:szCs w:val="21"/>
        </w:rPr>
        <w:t>．</w:t>
      </w:r>
      <w:r>
        <w:rPr>
          <w:rFonts w:ascii="Calibri" w:hAnsi="宋体"/>
          <w:szCs w:val="21"/>
        </w:rPr>
        <w:t>操纵与显示的相合性设计</w:t>
      </w:r>
    </w:p>
    <w:p>
      <w:pPr>
        <w:spacing w:line="400" w:lineRule="exact"/>
        <w:ind w:left="288" w:firstLine="210" w:firstLineChars="100"/>
        <w:rPr>
          <w:rFonts w:ascii="Calibri" w:hAnsi="Calibri"/>
          <w:szCs w:val="21"/>
        </w:rPr>
      </w:pPr>
      <w:r>
        <w:rPr>
          <w:rFonts w:ascii="Calibri" w:hAnsi="Calibri"/>
          <w:szCs w:val="21"/>
        </w:rPr>
        <w:t>19</w:t>
      </w:r>
      <w:r>
        <w:rPr>
          <w:rFonts w:hint="eastAsia" w:ascii="Calibri" w:hAnsi="宋体"/>
          <w:szCs w:val="21"/>
        </w:rPr>
        <w:t>．</w:t>
      </w:r>
      <w:r>
        <w:rPr>
          <w:rFonts w:ascii="Calibri" w:hAnsi="宋体"/>
          <w:szCs w:val="21"/>
        </w:rPr>
        <w:t>控制台的常用形式和设计要点</w:t>
      </w:r>
      <w:r>
        <w:rPr>
          <w:rFonts w:ascii="Calibri" w:hAnsi="Calibri"/>
          <w:szCs w:val="21"/>
        </w:rPr>
        <w:t xml:space="preserve"> </w:t>
      </w:r>
    </w:p>
    <w:p>
      <w:pPr>
        <w:spacing w:line="400" w:lineRule="exact"/>
        <w:ind w:left="288" w:firstLine="210" w:firstLineChars="100"/>
        <w:rPr>
          <w:rFonts w:ascii="Calibri" w:hAnsi="Calibri"/>
          <w:szCs w:val="21"/>
        </w:rPr>
      </w:pPr>
      <w:r>
        <w:rPr>
          <w:rFonts w:ascii="Calibri" w:hAnsi="Calibri"/>
          <w:szCs w:val="21"/>
        </w:rPr>
        <w:t>20</w:t>
      </w:r>
      <w:r>
        <w:rPr>
          <w:rFonts w:hint="eastAsia" w:ascii="Calibri" w:hAnsi="宋体"/>
          <w:szCs w:val="21"/>
        </w:rPr>
        <w:t>．</w:t>
      </w:r>
      <w:r>
        <w:rPr>
          <w:rFonts w:ascii="Calibri" w:hAnsi="宋体"/>
          <w:szCs w:val="21"/>
        </w:rPr>
        <w:t>工作座椅设计的主要依据</w:t>
      </w:r>
    </w:p>
    <w:p>
      <w:pPr>
        <w:spacing w:line="400" w:lineRule="exact"/>
        <w:ind w:left="288" w:firstLine="210" w:firstLineChars="100"/>
        <w:rPr>
          <w:rFonts w:ascii="Calibri" w:hAnsi="Calibri"/>
          <w:szCs w:val="21"/>
        </w:rPr>
      </w:pPr>
      <w:r>
        <w:rPr>
          <w:rFonts w:ascii="Calibri" w:hAnsi="Calibri"/>
          <w:szCs w:val="21"/>
        </w:rPr>
        <w:t>21</w:t>
      </w:r>
      <w:r>
        <w:rPr>
          <w:rFonts w:hint="eastAsia" w:ascii="Calibri" w:hAnsi="宋体"/>
          <w:szCs w:val="21"/>
        </w:rPr>
        <w:t>．</w:t>
      </w:r>
      <w:r>
        <w:rPr>
          <w:rFonts w:ascii="Calibri" w:hAnsi="宋体"/>
          <w:szCs w:val="21"/>
        </w:rPr>
        <w:t>手工工具设计的原则</w:t>
      </w:r>
    </w:p>
    <w:p>
      <w:pPr>
        <w:spacing w:line="400" w:lineRule="exact"/>
        <w:ind w:left="288" w:firstLine="210" w:firstLineChars="100"/>
        <w:rPr>
          <w:rFonts w:ascii="Calibri" w:hAnsi="Calibri"/>
          <w:szCs w:val="21"/>
        </w:rPr>
      </w:pPr>
      <w:r>
        <w:rPr>
          <w:rFonts w:ascii="Calibri" w:hAnsi="Calibri"/>
          <w:szCs w:val="21"/>
        </w:rPr>
        <w:t>22</w:t>
      </w:r>
      <w:r>
        <w:rPr>
          <w:rFonts w:hint="eastAsia" w:ascii="Calibri" w:hAnsi="宋体"/>
          <w:szCs w:val="21"/>
        </w:rPr>
        <w:t>．</w:t>
      </w:r>
      <w:r>
        <w:rPr>
          <w:rFonts w:ascii="Calibri" w:hAnsi="宋体"/>
          <w:szCs w:val="21"/>
        </w:rPr>
        <w:t>各种作业岗位的特征、应用范围、设计要求和原则</w:t>
      </w:r>
    </w:p>
    <w:p>
      <w:pPr>
        <w:spacing w:line="400" w:lineRule="exact"/>
        <w:ind w:left="288" w:firstLine="210" w:firstLineChars="100"/>
        <w:rPr>
          <w:rFonts w:ascii="Calibri" w:hAnsi="Calibri"/>
          <w:szCs w:val="21"/>
        </w:rPr>
      </w:pPr>
      <w:r>
        <w:rPr>
          <w:rFonts w:ascii="Calibri" w:hAnsi="Calibri"/>
          <w:szCs w:val="21"/>
        </w:rPr>
        <w:t>23</w:t>
      </w:r>
      <w:r>
        <w:rPr>
          <w:rFonts w:hint="eastAsia" w:ascii="Calibri" w:hAnsi="宋体"/>
          <w:szCs w:val="21"/>
        </w:rPr>
        <w:t>．</w:t>
      </w:r>
      <w:r>
        <w:rPr>
          <w:rFonts w:ascii="Calibri" w:hAnsi="宋体"/>
          <w:szCs w:val="21"/>
        </w:rPr>
        <w:t>视觉信息作业岗位设计要点</w:t>
      </w:r>
    </w:p>
    <w:p>
      <w:pPr>
        <w:spacing w:line="400" w:lineRule="exact"/>
        <w:ind w:left="288" w:firstLine="210" w:firstLineChars="100"/>
        <w:rPr>
          <w:rFonts w:ascii="Calibri" w:hAnsi="Calibri"/>
          <w:szCs w:val="21"/>
        </w:rPr>
      </w:pPr>
      <w:r>
        <w:rPr>
          <w:rFonts w:ascii="Calibri" w:hAnsi="Calibri"/>
          <w:szCs w:val="21"/>
        </w:rPr>
        <w:t>24</w:t>
      </w:r>
      <w:r>
        <w:rPr>
          <w:rFonts w:hint="eastAsia" w:ascii="Calibri" w:hAnsi="宋体"/>
          <w:szCs w:val="21"/>
        </w:rPr>
        <w:t>．</w:t>
      </w:r>
      <w:r>
        <w:rPr>
          <w:rFonts w:ascii="Calibri" w:hAnsi="宋体"/>
          <w:szCs w:val="21"/>
        </w:rPr>
        <w:t>作业空间设计的基本原则</w:t>
      </w:r>
    </w:p>
    <w:p>
      <w:pPr>
        <w:spacing w:line="400" w:lineRule="exact"/>
        <w:ind w:left="288" w:firstLine="210" w:firstLineChars="100"/>
        <w:rPr>
          <w:rFonts w:ascii="Calibri" w:hAnsi="Calibri"/>
          <w:szCs w:val="21"/>
        </w:rPr>
      </w:pPr>
      <w:r>
        <w:rPr>
          <w:rFonts w:ascii="Calibri" w:hAnsi="Calibri"/>
          <w:szCs w:val="21"/>
        </w:rPr>
        <w:t>25</w:t>
      </w:r>
      <w:r>
        <w:rPr>
          <w:rFonts w:hint="eastAsia" w:ascii="Calibri" w:hAnsi="宋体"/>
          <w:szCs w:val="21"/>
        </w:rPr>
        <w:t>．</w:t>
      </w:r>
      <w:r>
        <w:rPr>
          <w:rFonts w:ascii="Calibri" w:hAnsi="宋体"/>
          <w:szCs w:val="21"/>
        </w:rPr>
        <w:t>作业空间设计的社会心理因素</w:t>
      </w:r>
    </w:p>
    <w:p>
      <w:pPr>
        <w:spacing w:line="400" w:lineRule="exact"/>
        <w:ind w:left="288" w:firstLine="210" w:firstLineChars="100"/>
        <w:rPr>
          <w:rFonts w:ascii="Calibri" w:hAnsi="Calibri"/>
          <w:szCs w:val="21"/>
        </w:rPr>
      </w:pPr>
      <w:r>
        <w:rPr>
          <w:rFonts w:ascii="Calibri" w:hAnsi="Calibri"/>
          <w:szCs w:val="21"/>
        </w:rPr>
        <w:t>26</w:t>
      </w:r>
      <w:r>
        <w:rPr>
          <w:rFonts w:hint="eastAsia" w:ascii="Calibri" w:hAnsi="宋体"/>
          <w:szCs w:val="21"/>
        </w:rPr>
        <w:t>．</w:t>
      </w:r>
      <w:r>
        <w:rPr>
          <w:rFonts w:ascii="Calibri" w:hAnsi="宋体"/>
          <w:szCs w:val="21"/>
        </w:rPr>
        <w:t>作业场所布置总则和顺序？</w:t>
      </w:r>
    </w:p>
    <w:p>
      <w:pPr>
        <w:spacing w:line="400" w:lineRule="exact"/>
        <w:ind w:left="288" w:firstLine="210" w:firstLineChars="100"/>
        <w:rPr>
          <w:rFonts w:ascii="Calibri" w:hAnsi="Calibri"/>
          <w:szCs w:val="21"/>
        </w:rPr>
      </w:pPr>
      <w:r>
        <w:rPr>
          <w:rFonts w:ascii="Calibri" w:hAnsi="Calibri"/>
          <w:szCs w:val="21"/>
        </w:rPr>
        <w:t>27</w:t>
      </w:r>
      <w:r>
        <w:rPr>
          <w:rFonts w:hint="eastAsia" w:ascii="Calibri" w:hAnsi="宋体"/>
          <w:szCs w:val="21"/>
        </w:rPr>
        <w:t>．</w:t>
      </w:r>
      <w:r>
        <w:rPr>
          <w:rFonts w:ascii="Calibri" w:hAnsi="宋体"/>
          <w:szCs w:val="21"/>
        </w:rPr>
        <w:t>人机系统设计</w:t>
      </w:r>
    </w:p>
    <w:p>
      <w:pPr>
        <w:spacing w:line="400" w:lineRule="exact"/>
        <w:ind w:left="288" w:firstLine="210" w:firstLineChars="100"/>
        <w:rPr>
          <w:rFonts w:ascii="Calibri" w:hAnsi="Calibri"/>
          <w:szCs w:val="21"/>
        </w:rPr>
      </w:pPr>
      <w:r>
        <w:rPr>
          <w:rFonts w:ascii="Calibri" w:hAnsi="Calibri"/>
          <w:szCs w:val="21"/>
        </w:rPr>
        <w:t xml:space="preserve"> </w:t>
      </w:r>
    </w:p>
    <w:p>
      <w:pPr>
        <w:keepNext w:val="0"/>
        <w:keepLines w:val="0"/>
        <w:pageBreakBefore w:val="0"/>
        <w:widowControl w:val="0"/>
        <w:tabs>
          <w:tab w:val="left" w:pos="540"/>
        </w:tabs>
        <w:kinsoku/>
        <w:wordWrap/>
        <w:overflowPunct/>
        <w:topLinePunct w:val="0"/>
        <w:autoSpaceDE/>
        <w:autoSpaceDN/>
        <w:bidi w:val="0"/>
        <w:adjustRightInd/>
        <w:snapToGrid/>
        <w:spacing w:line="400" w:lineRule="exact"/>
        <w:ind w:firstLine="422" w:firstLineChars="200"/>
        <w:textAlignment w:val="auto"/>
        <w:rPr>
          <w:rFonts w:ascii="Calibri" w:hAnsi="宋体" w:eastAsia="宋体" w:cs="Times New Roman"/>
          <w:b/>
          <w:szCs w:val="21"/>
        </w:rPr>
      </w:pPr>
      <w:r>
        <w:rPr>
          <w:rFonts w:ascii="Calibri" w:hAnsi="宋体" w:eastAsia="宋体" w:cs="Times New Roman"/>
          <w:b/>
          <w:szCs w:val="21"/>
        </w:rPr>
        <w:t>（二）工业设计史</w:t>
      </w:r>
    </w:p>
    <w:p>
      <w:pPr>
        <w:spacing w:line="400" w:lineRule="exact"/>
        <w:ind w:firstLine="525" w:firstLineChars="25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设计师及设计作品</w:t>
      </w:r>
    </w:p>
    <w:p>
      <w:pPr>
        <w:spacing w:line="400" w:lineRule="exact"/>
        <w:ind w:firstLine="525" w:firstLineChars="25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工艺美术运动</w:t>
      </w:r>
    </w:p>
    <w:p>
      <w:pPr>
        <w:spacing w:line="400" w:lineRule="exact"/>
        <w:ind w:firstLine="525" w:firstLineChars="25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新艺术运动</w:t>
      </w:r>
    </w:p>
    <w:p>
      <w:pPr>
        <w:spacing w:line="400" w:lineRule="exact"/>
        <w:ind w:firstLine="525" w:firstLineChars="25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现代主义设计</w:t>
      </w:r>
    </w:p>
    <w:p>
      <w:pPr>
        <w:spacing w:line="400" w:lineRule="exact"/>
        <w:ind w:firstLine="525" w:firstLineChars="250"/>
        <w:rPr>
          <w:rFonts w:ascii="Calibri" w:hAnsi="Calibri"/>
          <w:szCs w:val="21"/>
        </w:rPr>
      </w:pPr>
      <w:r>
        <w:rPr>
          <w:rFonts w:ascii="Calibri" w:hAnsi="Calibri"/>
          <w:szCs w:val="21"/>
        </w:rPr>
        <w:t>5</w:t>
      </w:r>
      <w:r>
        <w:rPr>
          <w:rFonts w:hint="eastAsia" w:ascii="Calibri" w:hAnsi="宋体"/>
          <w:szCs w:val="21"/>
        </w:rPr>
        <w:t>．</w:t>
      </w:r>
      <w:r>
        <w:rPr>
          <w:rFonts w:ascii="Calibri" w:hAnsi="宋体"/>
          <w:szCs w:val="21"/>
        </w:rPr>
        <w:t>包豪斯及其设计</w:t>
      </w:r>
    </w:p>
    <w:p>
      <w:pPr>
        <w:spacing w:line="400" w:lineRule="exact"/>
        <w:ind w:firstLine="525" w:firstLineChars="250"/>
        <w:rPr>
          <w:rFonts w:ascii="Calibri" w:hAnsi="Calibri"/>
          <w:szCs w:val="21"/>
        </w:rPr>
      </w:pPr>
      <w:r>
        <w:rPr>
          <w:rFonts w:ascii="Calibri" w:hAnsi="Calibri"/>
          <w:szCs w:val="21"/>
        </w:rPr>
        <w:t>6</w:t>
      </w:r>
      <w:r>
        <w:rPr>
          <w:rFonts w:hint="eastAsia" w:ascii="Calibri" w:hAnsi="宋体"/>
          <w:szCs w:val="21"/>
        </w:rPr>
        <w:t>．</w:t>
      </w:r>
      <w:r>
        <w:rPr>
          <w:rFonts w:ascii="Calibri" w:hAnsi="宋体"/>
          <w:szCs w:val="21"/>
        </w:rPr>
        <w:t>美国商业性设计</w:t>
      </w:r>
    </w:p>
    <w:p>
      <w:pPr>
        <w:spacing w:line="400" w:lineRule="exact"/>
        <w:ind w:firstLine="525" w:firstLineChars="250"/>
        <w:rPr>
          <w:rFonts w:ascii="Calibri" w:hAnsi="Calibri"/>
          <w:szCs w:val="21"/>
        </w:rPr>
      </w:pPr>
      <w:r>
        <w:rPr>
          <w:rFonts w:ascii="Calibri" w:hAnsi="Calibri"/>
          <w:szCs w:val="21"/>
        </w:rPr>
        <w:t>7</w:t>
      </w:r>
      <w:r>
        <w:rPr>
          <w:rFonts w:hint="eastAsia" w:ascii="Calibri" w:hAnsi="宋体"/>
          <w:szCs w:val="21"/>
        </w:rPr>
        <w:t>．</w:t>
      </w:r>
      <w:r>
        <w:rPr>
          <w:rFonts w:ascii="Calibri" w:hAnsi="宋体"/>
          <w:szCs w:val="21"/>
        </w:rPr>
        <w:t>斯堪的纳维亚设计</w:t>
      </w:r>
    </w:p>
    <w:p>
      <w:pPr>
        <w:spacing w:line="400" w:lineRule="exact"/>
        <w:ind w:firstLine="525" w:firstLineChars="250"/>
        <w:rPr>
          <w:rFonts w:ascii="Calibri" w:hAnsi="Calibri"/>
          <w:szCs w:val="21"/>
        </w:rPr>
      </w:pPr>
      <w:r>
        <w:rPr>
          <w:rFonts w:ascii="Calibri" w:hAnsi="Calibri"/>
          <w:szCs w:val="21"/>
        </w:rPr>
        <w:t>8</w:t>
      </w:r>
      <w:r>
        <w:rPr>
          <w:rFonts w:hint="eastAsia" w:ascii="Calibri" w:hAnsi="宋体"/>
          <w:szCs w:val="21"/>
        </w:rPr>
        <w:t>．</w:t>
      </w:r>
      <w:r>
        <w:rPr>
          <w:rFonts w:ascii="Calibri" w:hAnsi="宋体"/>
          <w:szCs w:val="21"/>
        </w:rPr>
        <w:t>有机现代主义</w:t>
      </w:r>
    </w:p>
    <w:p>
      <w:pPr>
        <w:spacing w:line="400" w:lineRule="exact"/>
        <w:ind w:firstLine="525" w:firstLineChars="250"/>
        <w:rPr>
          <w:rFonts w:ascii="Calibri" w:hAnsi="Calibri"/>
          <w:szCs w:val="21"/>
        </w:rPr>
      </w:pPr>
      <w:r>
        <w:rPr>
          <w:rFonts w:ascii="Calibri" w:hAnsi="Calibri"/>
          <w:szCs w:val="21"/>
        </w:rPr>
        <w:t>9</w:t>
      </w:r>
      <w:r>
        <w:rPr>
          <w:rFonts w:hint="eastAsia" w:ascii="Calibri" w:hAnsi="宋体"/>
          <w:szCs w:val="21"/>
        </w:rPr>
        <w:t>．</w:t>
      </w:r>
      <w:r>
        <w:rPr>
          <w:rFonts w:ascii="Calibri" w:hAnsi="宋体"/>
          <w:szCs w:val="21"/>
        </w:rPr>
        <w:t>后现代主义设计</w:t>
      </w:r>
    </w:p>
    <w:p>
      <w:pPr>
        <w:spacing w:line="400" w:lineRule="exact"/>
        <w:ind w:firstLine="525" w:firstLineChars="250"/>
        <w:rPr>
          <w:rFonts w:hint="eastAsia" w:ascii="Calibri" w:hAnsi="宋体"/>
          <w:szCs w:val="21"/>
        </w:rPr>
      </w:pPr>
      <w:r>
        <w:rPr>
          <w:rFonts w:ascii="Calibri" w:hAnsi="Calibri"/>
          <w:szCs w:val="21"/>
        </w:rPr>
        <w:t>10</w:t>
      </w:r>
      <w:r>
        <w:rPr>
          <w:rFonts w:hint="eastAsia" w:ascii="Calibri" w:hAnsi="宋体"/>
          <w:szCs w:val="21"/>
        </w:rPr>
        <w:t>．</w:t>
      </w:r>
      <w:r>
        <w:rPr>
          <w:rFonts w:ascii="Calibri" w:hAnsi="宋体"/>
          <w:szCs w:val="21"/>
        </w:rPr>
        <w:t>设计的多元化</w:t>
      </w:r>
    </w:p>
    <w:p>
      <w:pPr>
        <w:spacing w:line="400" w:lineRule="exact"/>
        <w:ind w:firstLine="525" w:firstLineChars="250"/>
        <w:rPr>
          <w:rFonts w:hint="eastAsia" w:ascii="Calibri" w:hAnsi="Calibri"/>
          <w:szCs w:val="21"/>
        </w:rPr>
      </w:pPr>
    </w:p>
    <w:p>
      <w:pPr>
        <w:keepNext w:val="0"/>
        <w:keepLines w:val="0"/>
        <w:pageBreakBefore w:val="0"/>
        <w:widowControl w:val="0"/>
        <w:tabs>
          <w:tab w:val="left" w:pos="540"/>
        </w:tabs>
        <w:kinsoku/>
        <w:wordWrap/>
        <w:overflowPunct/>
        <w:topLinePunct w:val="0"/>
        <w:autoSpaceDE/>
        <w:autoSpaceDN/>
        <w:bidi w:val="0"/>
        <w:adjustRightInd/>
        <w:snapToGrid/>
        <w:spacing w:line="400" w:lineRule="exact"/>
        <w:ind w:firstLine="422" w:firstLineChars="200"/>
        <w:textAlignment w:val="auto"/>
        <w:rPr>
          <w:rFonts w:ascii="Calibri" w:hAnsi="宋体" w:eastAsia="宋体" w:cs="Times New Roman"/>
          <w:b/>
          <w:szCs w:val="21"/>
        </w:rPr>
      </w:pPr>
      <w:r>
        <w:rPr>
          <w:rFonts w:ascii="Calibri" w:hAnsi="宋体" w:eastAsia="宋体" w:cs="Times New Roman"/>
          <w:b/>
          <w:szCs w:val="21"/>
        </w:rPr>
        <w:t>（三）设计理论与发展趋势</w:t>
      </w:r>
    </w:p>
    <w:p>
      <w:pPr>
        <w:spacing w:line="400" w:lineRule="exact"/>
        <w:ind w:firstLine="525" w:firstLineChars="25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交互设计</w:t>
      </w:r>
    </w:p>
    <w:p>
      <w:pPr>
        <w:spacing w:line="400" w:lineRule="exact"/>
        <w:ind w:firstLine="525" w:firstLineChars="25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跨界设计</w:t>
      </w:r>
    </w:p>
    <w:p>
      <w:pPr>
        <w:spacing w:line="400" w:lineRule="exact"/>
        <w:ind w:firstLine="525" w:firstLineChars="25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民族化设计</w:t>
      </w:r>
    </w:p>
    <w:p>
      <w:pPr>
        <w:spacing w:line="400" w:lineRule="exact"/>
        <w:ind w:firstLine="525" w:firstLineChars="25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情感化设计</w:t>
      </w:r>
    </w:p>
    <w:p>
      <w:pPr>
        <w:spacing w:line="400" w:lineRule="exact"/>
        <w:ind w:firstLine="525" w:firstLineChars="250"/>
        <w:rPr>
          <w:rFonts w:ascii="Calibri" w:hAnsi="Calibri"/>
          <w:szCs w:val="21"/>
        </w:rPr>
      </w:pPr>
      <w:r>
        <w:rPr>
          <w:rFonts w:ascii="Calibri" w:hAnsi="Calibri"/>
          <w:szCs w:val="21"/>
        </w:rPr>
        <w:t>5</w:t>
      </w:r>
      <w:r>
        <w:rPr>
          <w:rFonts w:hint="eastAsia" w:ascii="Calibri" w:hAnsi="宋体"/>
          <w:szCs w:val="21"/>
        </w:rPr>
        <w:t>．</w:t>
      </w:r>
      <w:r>
        <w:rPr>
          <w:rFonts w:ascii="Calibri" w:hAnsi="宋体"/>
          <w:szCs w:val="21"/>
        </w:rPr>
        <w:t>全球化设计</w:t>
      </w:r>
    </w:p>
    <w:p>
      <w:pPr>
        <w:spacing w:line="400" w:lineRule="exact"/>
        <w:ind w:firstLine="525" w:firstLineChars="250"/>
        <w:rPr>
          <w:rFonts w:ascii="Calibri" w:hAnsi="Calibri"/>
          <w:szCs w:val="21"/>
        </w:rPr>
      </w:pPr>
      <w:r>
        <w:rPr>
          <w:rFonts w:ascii="Calibri" w:hAnsi="Calibri"/>
          <w:szCs w:val="21"/>
        </w:rPr>
        <w:t>6</w:t>
      </w:r>
      <w:r>
        <w:rPr>
          <w:rFonts w:hint="eastAsia" w:ascii="Calibri" w:hAnsi="宋体"/>
          <w:szCs w:val="21"/>
        </w:rPr>
        <w:t>．</w:t>
      </w:r>
      <w:r>
        <w:rPr>
          <w:rFonts w:ascii="Calibri" w:hAnsi="宋体"/>
          <w:szCs w:val="21"/>
        </w:rPr>
        <w:t>人性化设计</w:t>
      </w:r>
    </w:p>
    <w:p>
      <w:pPr>
        <w:spacing w:line="400" w:lineRule="exact"/>
        <w:ind w:firstLine="525" w:firstLineChars="250"/>
        <w:rPr>
          <w:rFonts w:ascii="Calibri" w:hAnsi="宋体"/>
          <w:szCs w:val="21"/>
        </w:rPr>
      </w:pPr>
      <w:r>
        <w:rPr>
          <w:rFonts w:ascii="Calibri" w:hAnsi="Calibri"/>
          <w:szCs w:val="21"/>
        </w:rPr>
        <w:t>7</w:t>
      </w:r>
      <w:r>
        <w:rPr>
          <w:rFonts w:hint="eastAsia" w:ascii="Calibri" w:hAnsi="宋体"/>
          <w:szCs w:val="21"/>
        </w:rPr>
        <w:t>．</w:t>
      </w:r>
      <w:r>
        <w:rPr>
          <w:rFonts w:ascii="Calibri" w:hAnsi="宋体"/>
          <w:szCs w:val="21"/>
        </w:rPr>
        <w:t>绿色设计</w:t>
      </w:r>
    </w:p>
    <w:p>
      <w:pPr>
        <w:spacing w:line="400" w:lineRule="exact"/>
        <w:rPr>
          <w:rFonts w:ascii="Calibri" w:hAnsi="宋体"/>
          <w:szCs w:val="21"/>
        </w:rPr>
      </w:pPr>
    </w:p>
    <w:p>
      <w:pPr>
        <w:spacing w:line="400" w:lineRule="exact"/>
        <w:rPr>
          <w:rFonts w:hint="eastAsia" w:ascii="Calibri" w:hAnsi="Calibri"/>
          <w:szCs w:val="21"/>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fldChar w:fldCharType="begin"/>
    </w:r>
    <w:r>
      <w:rPr>
        <w:rStyle w:val="14"/>
      </w:rPr>
      <w:instrText xml:space="preserve">PAGE  </w:instrText>
    </w:r>
    <w:r>
      <w:fldChar w:fldCharType="separate"/>
    </w:r>
    <w:r>
      <w:rPr>
        <w:rStyle w:val="14"/>
        <w:lang/>
      </w:rPr>
      <w:t>1</w:t>
    </w:r>
    <w: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fldChar w:fldCharType="begin"/>
    </w:r>
    <w:r>
      <w:rPr>
        <w:rStyle w:val="14"/>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F7F13"/>
    <w:multiLevelType w:val="multilevel"/>
    <w:tmpl w:val="052F7F13"/>
    <w:lvl w:ilvl="0" w:tentative="0">
      <w:start w:val="1"/>
      <w:numFmt w:val="chineseCountingThousand"/>
      <w:pStyle w:val="18"/>
      <w:lvlText w:val="第%1编"/>
      <w:lvlJc w:val="left"/>
      <w:pPr>
        <w:tabs>
          <w:tab w:val="left" w:pos="425"/>
        </w:tabs>
        <w:ind w:left="425" w:hanging="425"/>
      </w:pPr>
      <w:rPr>
        <w:rFonts w:hint="eastAsia"/>
      </w:rPr>
    </w:lvl>
    <w:lvl w:ilvl="1" w:tentative="0">
      <w:start w:val="1"/>
      <w:numFmt w:val="decimal"/>
      <w:lvlRestart w:val="0"/>
      <w:pStyle w:val="17"/>
      <w:lvlText w:val="第%2章"/>
      <w:lvlJc w:val="left"/>
      <w:pPr>
        <w:tabs>
          <w:tab w:val="left" w:pos="851"/>
        </w:tabs>
        <w:ind w:left="851" w:hanging="426"/>
      </w:pPr>
      <w:rPr>
        <w:rFonts w:hint="eastAsia"/>
      </w:rPr>
    </w:lvl>
    <w:lvl w:ilvl="2" w:tentative="0">
      <w:start w:val="1"/>
      <w:numFmt w:val="decimal"/>
      <w:pStyle w:val="16"/>
      <w:lvlText w:val="%2.%3"/>
      <w:lvlJc w:val="left"/>
      <w:pPr>
        <w:tabs>
          <w:tab w:val="left" w:pos="1276"/>
        </w:tabs>
        <w:ind w:left="1276" w:hanging="425"/>
      </w:pPr>
      <w:rPr>
        <w:rFonts w:hint="eastAsia"/>
      </w:rPr>
    </w:lvl>
    <w:lvl w:ilvl="3" w:tentative="0">
      <w:start w:val="1"/>
      <w:numFmt w:val="decimal"/>
      <w:pStyle w:val="19"/>
      <w:lvlText w:val="%2.%3.%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1">
    <w:nsid w:val="1BFC439B"/>
    <w:multiLevelType w:val="multilevel"/>
    <w:tmpl w:val="1BFC439B"/>
    <w:lvl w:ilvl="0" w:tentative="0">
      <w:start w:val="1"/>
      <w:numFmt w:val="chineseCountingThousand"/>
      <w:lvlText w:val="第%1编"/>
      <w:lvlJc w:val="left"/>
      <w:pPr>
        <w:tabs>
          <w:tab w:val="left" w:pos="425"/>
        </w:tabs>
        <w:ind w:left="425" w:hanging="425"/>
      </w:pPr>
      <w:rPr>
        <w:rFonts w:hint="eastAsia"/>
      </w:rPr>
    </w:lvl>
    <w:lvl w:ilvl="1" w:tentative="0">
      <w:start w:val="1"/>
      <w:numFmt w:val="decimal"/>
      <w:pStyle w:val="3"/>
      <w:lvlText w:val="第%2章"/>
      <w:lvlJc w:val="left"/>
      <w:pPr>
        <w:tabs>
          <w:tab w:val="left" w:pos="851"/>
        </w:tabs>
        <w:ind w:left="851" w:hanging="426"/>
      </w:pPr>
      <w:rPr>
        <w:rFonts w:hint="eastAsia"/>
      </w:rPr>
    </w:lvl>
    <w:lvl w:ilvl="2" w:tentative="0">
      <w:start w:val="1"/>
      <w:numFmt w:val="decimal"/>
      <w:lvlText w:val="%3."/>
      <w:lvlJc w:val="left"/>
      <w:pPr>
        <w:tabs>
          <w:tab w:val="left" w:pos="1276"/>
        </w:tabs>
        <w:ind w:left="1276" w:hanging="425"/>
      </w:pPr>
      <w:rPr>
        <w:rFonts w:hint="eastAsia"/>
      </w:rPr>
    </w:lvl>
    <w:lvl w:ilvl="3" w:tentative="0">
      <w:start w:val="1"/>
      <w:numFmt w:val="lowerLetter"/>
      <w:lvlText w:val="%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140AE5"/>
    <w:rsid w:val="00010D5D"/>
    <w:rsid w:val="000135FF"/>
    <w:rsid w:val="00027E64"/>
    <w:rsid w:val="000335F6"/>
    <w:rsid w:val="00050982"/>
    <w:rsid w:val="00065545"/>
    <w:rsid w:val="00066A42"/>
    <w:rsid w:val="000719FE"/>
    <w:rsid w:val="000756F9"/>
    <w:rsid w:val="00077182"/>
    <w:rsid w:val="00085B3B"/>
    <w:rsid w:val="00091B36"/>
    <w:rsid w:val="000B6F4B"/>
    <w:rsid w:val="000B7DC8"/>
    <w:rsid w:val="000C209E"/>
    <w:rsid w:val="000E10C0"/>
    <w:rsid w:val="000E5C38"/>
    <w:rsid w:val="000F3C2E"/>
    <w:rsid w:val="000F661E"/>
    <w:rsid w:val="00101D15"/>
    <w:rsid w:val="00103B3E"/>
    <w:rsid w:val="00114AEC"/>
    <w:rsid w:val="00121DD7"/>
    <w:rsid w:val="00133315"/>
    <w:rsid w:val="00133E55"/>
    <w:rsid w:val="00140AE5"/>
    <w:rsid w:val="001453D0"/>
    <w:rsid w:val="00150D02"/>
    <w:rsid w:val="00155EB0"/>
    <w:rsid w:val="0015629C"/>
    <w:rsid w:val="001609F7"/>
    <w:rsid w:val="00170DCF"/>
    <w:rsid w:val="001740E8"/>
    <w:rsid w:val="00185745"/>
    <w:rsid w:val="001935B6"/>
    <w:rsid w:val="00194851"/>
    <w:rsid w:val="001A4319"/>
    <w:rsid w:val="001B041B"/>
    <w:rsid w:val="001B4F9A"/>
    <w:rsid w:val="001D413F"/>
    <w:rsid w:val="001E10DB"/>
    <w:rsid w:val="001E6BCD"/>
    <w:rsid w:val="001F3C9B"/>
    <w:rsid w:val="001F7556"/>
    <w:rsid w:val="002019FF"/>
    <w:rsid w:val="0020469F"/>
    <w:rsid w:val="00206E2C"/>
    <w:rsid w:val="00216D96"/>
    <w:rsid w:val="002214EE"/>
    <w:rsid w:val="0024611E"/>
    <w:rsid w:val="002523CF"/>
    <w:rsid w:val="00280C54"/>
    <w:rsid w:val="00283F53"/>
    <w:rsid w:val="0030792B"/>
    <w:rsid w:val="003322C0"/>
    <w:rsid w:val="003338AC"/>
    <w:rsid w:val="003360CD"/>
    <w:rsid w:val="003441EF"/>
    <w:rsid w:val="00352755"/>
    <w:rsid w:val="00353F90"/>
    <w:rsid w:val="003564C9"/>
    <w:rsid w:val="0036543C"/>
    <w:rsid w:val="00372CF0"/>
    <w:rsid w:val="003756AA"/>
    <w:rsid w:val="00376053"/>
    <w:rsid w:val="00386367"/>
    <w:rsid w:val="003974FF"/>
    <w:rsid w:val="003B31A5"/>
    <w:rsid w:val="003C46E0"/>
    <w:rsid w:val="003D0761"/>
    <w:rsid w:val="003D40DA"/>
    <w:rsid w:val="003E0AA2"/>
    <w:rsid w:val="003E496C"/>
    <w:rsid w:val="003F1816"/>
    <w:rsid w:val="003F7C96"/>
    <w:rsid w:val="00407D78"/>
    <w:rsid w:val="00437544"/>
    <w:rsid w:val="004528F2"/>
    <w:rsid w:val="004569AD"/>
    <w:rsid w:val="00460E53"/>
    <w:rsid w:val="00461FFB"/>
    <w:rsid w:val="00477953"/>
    <w:rsid w:val="00485EA2"/>
    <w:rsid w:val="004875B6"/>
    <w:rsid w:val="00493110"/>
    <w:rsid w:val="004A44D7"/>
    <w:rsid w:val="004B5701"/>
    <w:rsid w:val="004C6CAD"/>
    <w:rsid w:val="004D605D"/>
    <w:rsid w:val="004F6334"/>
    <w:rsid w:val="004F66B9"/>
    <w:rsid w:val="005035EF"/>
    <w:rsid w:val="00503615"/>
    <w:rsid w:val="005040DA"/>
    <w:rsid w:val="00506B26"/>
    <w:rsid w:val="00507D98"/>
    <w:rsid w:val="00512E13"/>
    <w:rsid w:val="005222FE"/>
    <w:rsid w:val="00535709"/>
    <w:rsid w:val="005437C8"/>
    <w:rsid w:val="00553751"/>
    <w:rsid w:val="00554EC1"/>
    <w:rsid w:val="00555B4C"/>
    <w:rsid w:val="00570B01"/>
    <w:rsid w:val="0057795C"/>
    <w:rsid w:val="005C3407"/>
    <w:rsid w:val="005C652E"/>
    <w:rsid w:val="005C6D87"/>
    <w:rsid w:val="005E4F15"/>
    <w:rsid w:val="005F4D79"/>
    <w:rsid w:val="005F5405"/>
    <w:rsid w:val="0060496A"/>
    <w:rsid w:val="0060527D"/>
    <w:rsid w:val="006153EB"/>
    <w:rsid w:val="006349C2"/>
    <w:rsid w:val="006558B8"/>
    <w:rsid w:val="006604D6"/>
    <w:rsid w:val="00663EA3"/>
    <w:rsid w:val="00667089"/>
    <w:rsid w:val="00674145"/>
    <w:rsid w:val="00676CC2"/>
    <w:rsid w:val="0068067B"/>
    <w:rsid w:val="006961B4"/>
    <w:rsid w:val="006A6D56"/>
    <w:rsid w:val="006B1E3B"/>
    <w:rsid w:val="006D40D8"/>
    <w:rsid w:val="006E43BB"/>
    <w:rsid w:val="006E4DC2"/>
    <w:rsid w:val="006E52D4"/>
    <w:rsid w:val="00714870"/>
    <w:rsid w:val="007550B4"/>
    <w:rsid w:val="007742DF"/>
    <w:rsid w:val="00781E84"/>
    <w:rsid w:val="00795D47"/>
    <w:rsid w:val="007B46B1"/>
    <w:rsid w:val="007D095C"/>
    <w:rsid w:val="00802934"/>
    <w:rsid w:val="00805F6D"/>
    <w:rsid w:val="00807398"/>
    <w:rsid w:val="00815A2A"/>
    <w:rsid w:val="008173EC"/>
    <w:rsid w:val="008308AD"/>
    <w:rsid w:val="00840F6F"/>
    <w:rsid w:val="008462A7"/>
    <w:rsid w:val="008646F8"/>
    <w:rsid w:val="008816A3"/>
    <w:rsid w:val="0089787C"/>
    <w:rsid w:val="008A2A52"/>
    <w:rsid w:val="008B4475"/>
    <w:rsid w:val="008C20B2"/>
    <w:rsid w:val="008C70C3"/>
    <w:rsid w:val="008E61F3"/>
    <w:rsid w:val="008F0EDA"/>
    <w:rsid w:val="008F4593"/>
    <w:rsid w:val="008F7245"/>
    <w:rsid w:val="009001EA"/>
    <w:rsid w:val="00904FDE"/>
    <w:rsid w:val="0091505B"/>
    <w:rsid w:val="00925D0D"/>
    <w:rsid w:val="009331DD"/>
    <w:rsid w:val="00935DC6"/>
    <w:rsid w:val="00935EB0"/>
    <w:rsid w:val="00945335"/>
    <w:rsid w:val="0095795A"/>
    <w:rsid w:val="0096182C"/>
    <w:rsid w:val="0096493A"/>
    <w:rsid w:val="00984828"/>
    <w:rsid w:val="00994BA1"/>
    <w:rsid w:val="009C7165"/>
    <w:rsid w:val="009D1748"/>
    <w:rsid w:val="009E0D6A"/>
    <w:rsid w:val="009E6807"/>
    <w:rsid w:val="009E7851"/>
    <w:rsid w:val="00A24DD8"/>
    <w:rsid w:val="00A421A6"/>
    <w:rsid w:val="00A72107"/>
    <w:rsid w:val="00A85111"/>
    <w:rsid w:val="00A8561D"/>
    <w:rsid w:val="00A874CD"/>
    <w:rsid w:val="00AA08F7"/>
    <w:rsid w:val="00AA3940"/>
    <w:rsid w:val="00AB6D66"/>
    <w:rsid w:val="00AB70B0"/>
    <w:rsid w:val="00AD1AFD"/>
    <w:rsid w:val="00AD566D"/>
    <w:rsid w:val="00AE0B80"/>
    <w:rsid w:val="00AE30FA"/>
    <w:rsid w:val="00AE35DF"/>
    <w:rsid w:val="00B1139F"/>
    <w:rsid w:val="00B123A9"/>
    <w:rsid w:val="00B1344C"/>
    <w:rsid w:val="00B138F3"/>
    <w:rsid w:val="00B15F5F"/>
    <w:rsid w:val="00B22F1C"/>
    <w:rsid w:val="00B476B8"/>
    <w:rsid w:val="00B900EC"/>
    <w:rsid w:val="00B93CF6"/>
    <w:rsid w:val="00B972B2"/>
    <w:rsid w:val="00BA0504"/>
    <w:rsid w:val="00BB5A77"/>
    <w:rsid w:val="00BC75CF"/>
    <w:rsid w:val="00BE0920"/>
    <w:rsid w:val="00BE1A6C"/>
    <w:rsid w:val="00BE504F"/>
    <w:rsid w:val="00BE510F"/>
    <w:rsid w:val="00BE7059"/>
    <w:rsid w:val="00BF0D9C"/>
    <w:rsid w:val="00C0175E"/>
    <w:rsid w:val="00C01FE5"/>
    <w:rsid w:val="00C04EBD"/>
    <w:rsid w:val="00C07DC6"/>
    <w:rsid w:val="00C30B89"/>
    <w:rsid w:val="00C56DF8"/>
    <w:rsid w:val="00C60C8B"/>
    <w:rsid w:val="00C74341"/>
    <w:rsid w:val="00C83706"/>
    <w:rsid w:val="00C83F9A"/>
    <w:rsid w:val="00C90002"/>
    <w:rsid w:val="00C917C7"/>
    <w:rsid w:val="00C9415D"/>
    <w:rsid w:val="00CB3C88"/>
    <w:rsid w:val="00CC07C4"/>
    <w:rsid w:val="00CC106A"/>
    <w:rsid w:val="00CF340F"/>
    <w:rsid w:val="00CF456B"/>
    <w:rsid w:val="00D05127"/>
    <w:rsid w:val="00D23E62"/>
    <w:rsid w:val="00D47067"/>
    <w:rsid w:val="00D6137C"/>
    <w:rsid w:val="00D74357"/>
    <w:rsid w:val="00D77ED1"/>
    <w:rsid w:val="00D84F81"/>
    <w:rsid w:val="00D92C30"/>
    <w:rsid w:val="00D95424"/>
    <w:rsid w:val="00DC3820"/>
    <w:rsid w:val="00DE7EE2"/>
    <w:rsid w:val="00DF4A1C"/>
    <w:rsid w:val="00E03E9F"/>
    <w:rsid w:val="00E40A7D"/>
    <w:rsid w:val="00E46CE6"/>
    <w:rsid w:val="00E6277E"/>
    <w:rsid w:val="00E66B82"/>
    <w:rsid w:val="00E765F7"/>
    <w:rsid w:val="00E828D3"/>
    <w:rsid w:val="00E8781A"/>
    <w:rsid w:val="00E96CC4"/>
    <w:rsid w:val="00EB58D4"/>
    <w:rsid w:val="00EC0C60"/>
    <w:rsid w:val="00EC59FF"/>
    <w:rsid w:val="00ED66B7"/>
    <w:rsid w:val="00EE1F3B"/>
    <w:rsid w:val="00EE2373"/>
    <w:rsid w:val="00EE66E9"/>
    <w:rsid w:val="00EF4EA0"/>
    <w:rsid w:val="00EF675A"/>
    <w:rsid w:val="00EF6C88"/>
    <w:rsid w:val="00F05760"/>
    <w:rsid w:val="00F0689D"/>
    <w:rsid w:val="00F07166"/>
    <w:rsid w:val="00F35C37"/>
    <w:rsid w:val="00F91D0A"/>
    <w:rsid w:val="00FA0000"/>
    <w:rsid w:val="00FA1009"/>
    <w:rsid w:val="00FB4778"/>
    <w:rsid w:val="00FB74A0"/>
    <w:rsid w:val="00FC3B3E"/>
    <w:rsid w:val="00FC5C72"/>
    <w:rsid w:val="00FC6D6E"/>
    <w:rsid w:val="00FD084C"/>
    <w:rsid w:val="00FE121C"/>
    <w:rsid w:val="00FE3CEA"/>
    <w:rsid w:val="00FE69E6"/>
    <w:rsid w:val="3295037B"/>
    <w:rsid w:val="39AA769D"/>
    <w:rsid w:val="3C045AA3"/>
    <w:rsid w:val="3D9E3122"/>
    <w:rsid w:val="6EEF24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uiPriority w:val="0"/>
  </w:style>
  <w:style w:type="table" w:default="1" w:styleId="11">
    <w:name w:val="Normal Table"/>
    <w:semiHidden/>
    <w:uiPriority w:val="0"/>
    <w:tblPr>
      <w:tblStyle w:val="11"/>
      <w:tblCellMar>
        <w:top w:w="0" w:type="dxa"/>
        <w:left w:w="108" w:type="dxa"/>
        <w:bottom w:w="0" w:type="dxa"/>
        <w:right w:w="108" w:type="dxa"/>
      </w:tblCellMar>
    </w:tblPr>
  </w:style>
  <w:style w:type="paragraph" w:styleId="6">
    <w:name w:val="Document Map"/>
    <w:basedOn w:val="1"/>
    <w:semiHidden/>
    <w:uiPriority w:val="0"/>
    <w:pPr>
      <w:shd w:val="clear" w:color="auto" w:fill="000080"/>
    </w:pPr>
  </w:style>
  <w:style w:type="paragraph" w:styleId="7">
    <w:name w:val="Body Text Indent"/>
    <w:basedOn w:val="1"/>
    <w:uiPriority w:val="0"/>
    <w:pPr>
      <w:ind w:left="357" w:leftChars="170" w:firstLine="420" w:firstLineChars="200"/>
      <w:jc w:val="left"/>
    </w:p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adjustRightInd w:val="0"/>
      <w:snapToGrid w:val="0"/>
      <w:spacing w:line="240" w:lineRule="atLeast"/>
      <w:jc w:val="center"/>
      <w:textAlignment w:val="baseline"/>
    </w:pPr>
    <w:rPr>
      <w:kern w:val="0"/>
      <w:sz w:val="18"/>
      <w:szCs w:val="18"/>
    </w:rPr>
  </w:style>
  <w:style w:type="paragraph" w:styleId="10">
    <w:name w:val="toc 1"/>
    <w:basedOn w:val="1"/>
    <w:next w:val="1"/>
    <w:semiHidden/>
    <w:uiPriority w:val="0"/>
  </w:style>
  <w:style w:type="table" w:styleId="12">
    <w:name w:val="Table Grid"/>
    <w:basedOn w:val="11"/>
    <w:uiPriority w:val="0"/>
    <w:pPr>
      <w:widowControl w:val="0"/>
      <w:adjustRightInd w:val="0"/>
      <w:spacing w:line="312" w:lineRule="atLeast"/>
      <w:jc w:val="both"/>
      <w:textAlignment w:val="baseline"/>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style>
  <w:style w:type="character" w:styleId="15">
    <w:name w:val="Hyperlink"/>
    <w:uiPriority w:val="0"/>
    <w:rPr>
      <w:color w:val="0000FF"/>
      <w:u w:val="single"/>
    </w:rPr>
  </w:style>
  <w:style w:type="paragraph" w:customStyle="1" w:styleId="16">
    <w:name w:val="样式3"/>
    <w:basedOn w:val="4"/>
    <w:next w:val="1"/>
    <w:uiPriority w:val="0"/>
    <w:pPr>
      <w:numPr>
        <w:ilvl w:val="2"/>
        <w:numId w:val="2"/>
      </w:numPr>
      <w:spacing w:before="0" w:after="0" w:line="240" w:lineRule="auto"/>
    </w:pPr>
    <w:rPr>
      <w:b w:val="0"/>
      <w:sz w:val="28"/>
    </w:rPr>
  </w:style>
  <w:style w:type="paragraph" w:customStyle="1" w:styleId="17">
    <w:name w:val="样式2"/>
    <w:basedOn w:val="3"/>
    <w:next w:val="1"/>
    <w:uiPriority w:val="0"/>
    <w:pPr>
      <w:numPr>
        <w:ilvl w:val="1"/>
        <w:numId w:val="2"/>
      </w:numPr>
      <w:spacing w:before="0" w:after="0" w:line="240" w:lineRule="auto"/>
    </w:pPr>
    <w:rPr>
      <w:rFonts w:eastAsia="宋体"/>
      <w:b w:val="0"/>
      <w:sz w:val="30"/>
    </w:rPr>
  </w:style>
  <w:style w:type="paragraph" w:customStyle="1" w:styleId="18">
    <w:name w:val="样式1"/>
    <w:basedOn w:val="2"/>
    <w:next w:val="1"/>
    <w:uiPriority w:val="0"/>
    <w:pPr>
      <w:numPr>
        <w:ilvl w:val="0"/>
        <w:numId w:val="2"/>
      </w:numPr>
      <w:spacing w:before="120" w:after="120" w:line="240" w:lineRule="auto"/>
    </w:pPr>
    <w:rPr>
      <w:sz w:val="32"/>
    </w:rPr>
  </w:style>
  <w:style w:type="paragraph" w:customStyle="1" w:styleId="19">
    <w:name w:val="样式4"/>
    <w:basedOn w:val="5"/>
    <w:next w:val="1"/>
    <w:uiPriority w:val="0"/>
    <w:pPr>
      <w:numPr>
        <w:ilvl w:val="3"/>
        <w:numId w:val="2"/>
      </w:numPr>
      <w:spacing w:before="0" w:after="0" w:line="240" w:lineRule="auto"/>
    </w:pPr>
    <w:rPr>
      <w:rFonts w:eastAsia="宋体"/>
      <w:b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ruc stats</Company>
  <Pages>3</Pages>
  <Words>899</Words>
  <Characters>927</Characters>
  <Lines>7</Lines>
  <Paragraphs>1</Paragraphs>
  <TotalTime>1</TotalTime>
  <ScaleCrop>false</ScaleCrop>
  <LinksUpToDate>false</LinksUpToDate>
  <CharactersWithSpaces>931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2011-07-18T00:50:00Z</dcterms:created>
  <dc:creator>山东大学研究生招生办公室; huangxy</dc:creator>
  <dc:description>山东大学2011年硕士研究生入学考试自命题考试大纲</dc:description>
  <cp:keywords>2011年硕士研究生入学考试考试大纲</cp:keywords>
  <cp:lastModifiedBy>vertesyuan</cp:lastModifiedBy>
  <dcterms:modified xsi:type="dcterms:W3CDTF">2024-01-11T02:45:10Z</dcterms:modified>
  <dc:title>全国硕士研究生入学统一考试应用统计硕士专业学位统计学考试大纲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A75B2D726C2C47A29DD2C216932D9CB3_13</vt:lpwstr>
  </property>
</Properties>
</file>