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ascii="宋体"/>
          <w:b/>
          <w:kern w:val="0"/>
          <w:sz w:val="28"/>
          <w:szCs w:val="28"/>
          <w:highlight w:val="none"/>
        </w:rPr>
      </w:pPr>
      <w:r>
        <w:rPr>
          <w:rFonts w:hint="eastAsia" w:ascii="黑体" w:eastAsia="黑体" w:cstheme="minorBidi"/>
          <w:sz w:val="32"/>
          <w:szCs w:val="32"/>
          <w:lang w:val="en-US" w:eastAsia="zh-CN"/>
        </w:rPr>
        <w:t>433-</w:t>
      </w:r>
      <w:r>
        <w:rPr>
          <w:rFonts w:hint="eastAsia" w:ascii="黑体" w:eastAsia="黑体" w:cstheme="minorBidi"/>
          <w:sz w:val="32"/>
          <w:szCs w:val="32"/>
        </w:rPr>
        <w:t>税务专业基础</w:t>
      </w:r>
    </w:p>
    <w:p>
      <w:pPr>
        <w:spacing w:line="360" w:lineRule="auto"/>
        <w:ind w:firstLine="420"/>
        <w:jc w:val="center"/>
        <w:rPr>
          <w:rFonts w:ascii="宋体"/>
          <w:b/>
          <w:kern w:val="0"/>
          <w:sz w:val="28"/>
          <w:szCs w:val="28"/>
          <w:highlight w:val="none"/>
        </w:rPr>
      </w:pPr>
    </w:p>
    <w:p>
      <w:pPr>
        <w:spacing w:line="360" w:lineRule="auto"/>
        <w:ind w:firstLine="420"/>
        <w:rPr>
          <w:rFonts w:ascii="宋体"/>
          <w:b/>
          <w:kern w:val="0"/>
          <w:sz w:val="24"/>
          <w:highlight w:val="none"/>
        </w:rPr>
      </w:pPr>
      <w:r>
        <w:rPr>
          <w:rFonts w:hint="eastAsia" w:ascii="宋体"/>
          <w:b/>
          <w:kern w:val="0"/>
          <w:sz w:val="24"/>
          <w:highlight w:val="none"/>
        </w:rPr>
        <w:t>（一）税收理论部分</w:t>
      </w:r>
      <w:r>
        <w:rPr>
          <w:rFonts w:hint="eastAsia" w:ascii="宋体"/>
          <w:b/>
          <w:color w:val="auto"/>
          <w:kern w:val="0"/>
          <w:sz w:val="24"/>
          <w:highlight w:val="none"/>
        </w:rPr>
        <w:t>（指定教材：《税收学（第</w:t>
      </w:r>
      <w:r>
        <w:rPr>
          <w:rFonts w:hint="eastAsia" w:ascii="宋体"/>
          <w:b/>
          <w:color w:val="auto"/>
          <w:kern w:val="0"/>
          <w:sz w:val="24"/>
          <w:highlight w:val="none"/>
          <w:lang w:val="en-US" w:eastAsia="zh-CN"/>
        </w:rPr>
        <w:t>六</w:t>
      </w:r>
      <w:r>
        <w:rPr>
          <w:rFonts w:hint="eastAsia" w:ascii="宋体"/>
          <w:b/>
          <w:color w:val="auto"/>
          <w:kern w:val="0"/>
          <w:sz w:val="24"/>
          <w:highlight w:val="none"/>
        </w:rPr>
        <w:t>版）》，黄桦主编，中国人民大学出版社，</w:t>
      </w:r>
      <w:r>
        <w:rPr>
          <w:rFonts w:ascii="宋体"/>
          <w:b/>
          <w:color w:val="auto"/>
          <w:kern w:val="0"/>
          <w:sz w:val="24"/>
          <w:highlight w:val="none"/>
        </w:rPr>
        <w:t>20</w:t>
      </w:r>
      <w:r>
        <w:rPr>
          <w:rFonts w:hint="eastAsia" w:ascii="宋体"/>
          <w:b/>
          <w:color w:val="auto"/>
          <w:kern w:val="0"/>
          <w:sz w:val="24"/>
          <w:highlight w:val="none"/>
          <w:lang w:val="en-US" w:eastAsia="zh-CN"/>
        </w:rPr>
        <w:t>22</w:t>
      </w:r>
      <w:r>
        <w:rPr>
          <w:rFonts w:hint="eastAsia" w:ascii="宋体"/>
          <w:b/>
          <w:color w:val="auto"/>
          <w:kern w:val="0"/>
          <w:sz w:val="24"/>
          <w:highlight w:val="none"/>
        </w:rPr>
        <w:t>年）</w:t>
      </w:r>
    </w:p>
    <w:p>
      <w:pPr>
        <w:spacing w:line="360" w:lineRule="auto"/>
        <w:ind w:firstLine="420"/>
        <w:rPr>
          <w:rFonts w:ascii="宋体"/>
          <w:color w:val="00000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1</w:t>
      </w:r>
      <w:r>
        <w:rPr>
          <w:rFonts w:ascii="宋体"/>
          <w:color w:val="000000"/>
          <w:sz w:val="24"/>
          <w:highlight w:val="none"/>
        </w:rPr>
        <w:t>.</w:t>
      </w:r>
      <w:r>
        <w:rPr>
          <w:rFonts w:hint="eastAsia" w:ascii="宋体" w:hAnsi="宋体"/>
          <w:color w:val="000000"/>
          <w:sz w:val="24"/>
          <w:highlight w:val="none"/>
        </w:rPr>
        <w:t>公共产品与政府税收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hint="eastAsia" w:ascii="宋体" w:hAnsi="宋体"/>
          <w:color w:val="000000"/>
          <w:sz w:val="24"/>
          <w:highlight w:val="none"/>
        </w:rPr>
        <w:t>税收概念；税</w:t>
      </w:r>
      <w:r>
        <w:rPr>
          <w:rFonts w:hint="eastAsia" w:ascii="宋体" w:hAnsi="宋体"/>
          <w:sz w:val="24"/>
          <w:highlight w:val="none"/>
        </w:rPr>
        <w:t>收本质；公共产品与政府税收；市场失灵与政府税收。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</w:t>
      </w:r>
      <w:r>
        <w:rPr>
          <w:rFonts w:asci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税收作用机制</w:t>
      </w:r>
    </w:p>
    <w:p>
      <w:pPr>
        <w:spacing w:line="360" w:lineRule="auto"/>
        <w:ind w:firstLine="42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税收内在稳定器；相机抉择；税收乘数；税收收入效应；税收替代效应。</w:t>
      </w:r>
    </w:p>
    <w:p>
      <w:pPr>
        <w:spacing w:line="360" w:lineRule="auto"/>
        <w:ind w:firstLine="42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3.</w:t>
      </w:r>
      <w:r>
        <w:rPr>
          <w:rFonts w:hint="eastAsia"/>
          <w:highlight w:val="none"/>
        </w:rPr>
        <w:t xml:space="preserve"> </w:t>
      </w:r>
      <w:r>
        <w:rPr>
          <w:rFonts w:hint="eastAsia" w:ascii="宋体" w:hAnsi="宋体"/>
          <w:sz w:val="24"/>
          <w:highlight w:val="none"/>
        </w:rPr>
        <w:t>税收原则</w:t>
      </w:r>
    </w:p>
    <w:p>
      <w:pPr>
        <w:spacing w:line="360" w:lineRule="auto"/>
        <w:ind w:firstLine="420"/>
        <w:rPr>
          <w:rFonts w:hint="eastAsia" w:asci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</w:t>
      </w:r>
      <w:r>
        <w:rPr>
          <w:rFonts w:ascii="宋体" w:hAnsi="宋体"/>
          <w:sz w:val="24"/>
          <w:highlight w:val="none"/>
        </w:rPr>
        <w:t>公平原则；税收效率原则；</w:t>
      </w:r>
      <w:r>
        <w:rPr>
          <w:rFonts w:hint="eastAsia" w:ascii="宋体" w:hAnsi="宋体"/>
          <w:sz w:val="24"/>
          <w:highlight w:val="none"/>
        </w:rPr>
        <w:t>亚当斯密</w:t>
      </w:r>
      <w:r>
        <w:rPr>
          <w:rFonts w:ascii="宋体" w:hAnsi="宋体"/>
          <w:sz w:val="24"/>
          <w:highlight w:val="none"/>
        </w:rPr>
        <w:t>税收四原则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line="360" w:lineRule="auto"/>
        <w:ind w:firstLine="420"/>
        <w:rPr>
          <w:rFonts w:asci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</w:t>
      </w:r>
      <w:r>
        <w:rPr>
          <w:rFonts w:ascii="宋体"/>
          <w:sz w:val="24"/>
          <w:highlight w:val="none"/>
        </w:rPr>
        <w:t>.</w:t>
      </w:r>
      <w:r>
        <w:rPr>
          <w:rFonts w:hint="eastAsia" w:ascii="宋体" w:hAnsi="宋体"/>
          <w:sz w:val="24"/>
          <w:highlight w:val="none"/>
        </w:rPr>
        <w:t>税收负担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税收负担；税收负担</w:t>
      </w:r>
      <w:r>
        <w:rPr>
          <w:rFonts w:hint="eastAsia" w:ascii="宋体" w:hAnsi="宋体"/>
          <w:sz w:val="24"/>
          <w:highlight w:val="none"/>
          <w:lang w:eastAsia="zh-CN"/>
        </w:rPr>
        <w:t>的影响因素；</w:t>
      </w:r>
      <w:r>
        <w:rPr>
          <w:rFonts w:hint="eastAsia" w:ascii="宋体" w:hAnsi="宋体"/>
          <w:sz w:val="24"/>
          <w:highlight w:val="none"/>
        </w:rPr>
        <w:t>税收负担</w:t>
      </w:r>
      <w:r>
        <w:rPr>
          <w:rFonts w:hint="eastAsia" w:ascii="宋体" w:hAnsi="宋体"/>
          <w:sz w:val="24"/>
          <w:highlight w:val="none"/>
          <w:lang w:eastAsia="zh-CN"/>
        </w:rPr>
        <w:t>的衡量指标</w:t>
      </w:r>
      <w:r>
        <w:rPr>
          <w:rFonts w:hint="eastAsia" w:ascii="宋体" w:hAnsi="宋体"/>
          <w:sz w:val="24"/>
          <w:highlight w:val="none"/>
        </w:rPr>
        <w:t>；税负转嫁；税负归宿；税收</w:t>
      </w:r>
      <w:r>
        <w:rPr>
          <w:rFonts w:ascii="宋体" w:hAnsi="宋体"/>
          <w:sz w:val="24"/>
          <w:highlight w:val="none"/>
        </w:rPr>
        <w:t>中性</w:t>
      </w:r>
      <w:r>
        <w:rPr>
          <w:rFonts w:hint="eastAsia" w:ascii="宋体" w:hAnsi="宋体"/>
          <w:sz w:val="24"/>
          <w:highlight w:val="none"/>
        </w:rPr>
        <w:t>。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5.国际税收理论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重复征税及解决方式；避税与反避税。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6.税收前沿理论</w:t>
      </w:r>
    </w:p>
    <w:p>
      <w:pPr>
        <w:spacing w:line="360" w:lineRule="auto"/>
        <w:ind w:firstLine="420"/>
        <w:rPr>
          <w:rFonts w:hint="eastAsia" w:ascii="宋体" w:hAnsi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税收债权债务关系理论；最优税制理论；中国税制改革的前沿问题。</w:t>
      </w:r>
    </w:p>
    <w:p>
      <w:pPr>
        <w:spacing w:line="360" w:lineRule="auto"/>
        <w:ind w:firstLine="420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kern w:val="0"/>
          <w:sz w:val="24"/>
        </w:rPr>
        <w:t>（二）</w:t>
      </w:r>
      <w:r>
        <w:rPr>
          <w:rFonts w:hint="eastAsia" w:ascii="宋体" w:hAnsi="宋体"/>
          <w:b/>
          <w:color w:val="000000"/>
          <w:sz w:val="24"/>
        </w:rPr>
        <w:t>中国税制实务（</w:t>
      </w:r>
      <w:r>
        <w:rPr>
          <w:rFonts w:hint="eastAsia" w:ascii="宋体" w:hAnsi="宋体"/>
          <w:b/>
          <w:color w:val="000000"/>
          <w:sz w:val="24"/>
          <w:lang w:eastAsia="zh-CN"/>
        </w:rPr>
        <w:t>指定教材：</w:t>
      </w:r>
      <w:r>
        <w:rPr>
          <w:rFonts w:hint="eastAsia" w:ascii="宋体" w:hAnsi="宋体"/>
          <w:b/>
          <w:color w:val="000000"/>
          <w:sz w:val="24"/>
        </w:rPr>
        <w:t>《中国税制（第十二版）》，马海涛主编，中国人民大学出版社</w:t>
      </w:r>
      <w:r>
        <w:rPr>
          <w:rFonts w:hint="eastAsia" w:ascii="宋体" w:hAnsi="宋体"/>
          <w:b/>
          <w:color w:val="000000"/>
          <w:sz w:val="24"/>
          <w:lang w:eastAsia="zh-CN"/>
        </w:rPr>
        <w:t>，</w:t>
      </w:r>
      <w:r>
        <w:rPr>
          <w:rFonts w:hint="eastAsia" w:ascii="宋体" w:hAnsi="宋体"/>
          <w:b/>
          <w:color w:val="000000"/>
          <w:sz w:val="24"/>
        </w:rPr>
        <w:t>2022年</w:t>
      </w:r>
      <w:r>
        <w:rPr>
          <w:rFonts w:hint="eastAsia" w:ascii="宋体" w:hAnsi="宋体"/>
          <w:b/>
          <w:color w:val="000000"/>
          <w:sz w:val="24"/>
        </w:rPr>
        <w:t>）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/>
          <w:color w:val="000000"/>
          <w:sz w:val="24"/>
        </w:rPr>
        <w:t>.</w:t>
      </w:r>
      <w:r>
        <w:rPr>
          <w:rFonts w:hint="eastAsia" w:ascii="宋体" w:hAnsi="宋体"/>
          <w:kern w:val="0"/>
          <w:sz w:val="24"/>
        </w:rPr>
        <w:t>税制要素及税收分类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纳税义务人；征税对象；税率；纳税环节和纳税期限；税收优惠；税收分类方法及其类别。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商品劳务课税基本理论及制度规定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增值税基本理论、制度规定及计算；消费税基本理论、制度规定及计算；城市维护建设税的制度规定及计算、关税的制度规定及计算等。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3</w:t>
      </w:r>
      <w:r>
        <w:rPr>
          <w:rFonts w:ascii="宋体"/>
          <w:kern w:val="0"/>
          <w:sz w:val="24"/>
        </w:rPr>
        <w:t>.</w:t>
      </w:r>
      <w:r>
        <w:rPr>
          <w:rFonts w:hint="eastAsia" w:ascii="宋体" w:hAnsi="宋体"/>
          <w:kern w:val="0"/>
          <w:sz w:val="24"/>
        </w:rPr>
        <w:t>所得税基本理论及制度规定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企业所得税基本理论、制度规定及计算，个人所得税基本理论、制度规定及计算。</w:t>
      </w:r>
    </w:p>
    <w:p>
      <w:pPr>
        <w:spacing w:line="360" w:lineRule="auto"/>
        <w:ind w:firstLine="420"/>
        <w:rPr>
          <w:rFonts w:ascii="宋体"/>
          <w:color w:val="FF0000"/>
          <w:kern w:val="0"/>
          <w:sz w:val="24"/>
        </w:rPr>
      </w:pPr>
      <w:r>
        <w:rPr>
          <w:rFonts w:ascii="宋体" w:hAnsi="宋体"/>
          <w:kern w:val="0"/>
          <w:sz w:val="24"/>
        </w:rPr>
        <w:t>4</w:t>
      </w:r>
      <w:r>
        <w:rPr>
          <w:rFonts w:hint="eastAsia" w:ascii="宋体" w:hAnsi="宋体"/>
          <w:kern w:val="0"/>
          <w:sz w:val="24"/>
        </w:rPr>
        <w:t>．财产行为税及其他税种制度基本理论及其制度规定</w:t>
      </w:r>
    </w:p>
    <w:p>
      <w:pPr>
        <w:spacing w:line="360" w:lineRule="auto"/>
        <w:ind w:firstLine="420"/>
        <w:rPr>
          <w:rFonts w:asci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资源税、环境保护税、土地增值税、房产税、印花税等制度规定。</w:t>
      </w:r>
    </w:p>
    <w:p>
      <w:pPr>
        <w:spacing w:line="360" w:lineRule="auto"/>
        <w:ind w:firstLine="420"/>
        <w:rPr>
          <w:rFonts w:ascii="宋体"/>
          <w:b/>
          <w:kern w:val="0"/>
          <w:sz w:val="24"/>
          <w:highlight w:val="none"/>
        </w:rPr>
      </w:pPr>
      <w:r>
        <w:rPr>
          <w:rFonts w:hint="eastAsia" w:ascii="宋体" w:hAnsi="宋体"/>
          <w:b/>
          <w:kern w:val="0"/>
          <w:sz w:val="24"/>
          <w:highlight w:val="none"/>
        </w:rPr>
        <w:t>（三）</w:t>
      </w:r>
      <w:r>
        <w:rPr>
          <w:rFonts w:hint="eastAsia" w:ascii="宋体" w:hAnsi="宋体"/>
          <w:b/>
          <w:color w:val="000000"/>
          <w:sz w:val="24"/>
          <w:highlight w:val="none"/>
        </w:rPr>
        <w:t>税务管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理实务（指定教材：《税务管理》</w:t>
      </w:r>
      <w:r>
        <w:rPr>
          <w:rFonts w:hint="eastAsia" w:ascii="宋体" w:hAnsi="宋体" w:cs="Times New Roman"/>
          <w:b/>
          <w:color w:val="000000"/>
          <w:sz w:val="24"/>
          <w:highlight w:val="none"/>
          <w:lang w:eastAsia="zh-CN"/>
        </w:rPr>
        <w:t>，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王再堂、王向东</w:t>
      </w:r>
      <w:r>
        <w:rPr>
          <w:rFonts w:hint="eastAsia" w:ascii="宋体" w:hAnsi="宋体" w:cs="Times New Roman"/>
          <w:b/>
          <w:color w:val="000000"/>
          <w:sz w:val="24"/>
          <w:highlight w:val="none"/>
          <w:lang w:val="en-US" w:eastAsia="zh-CN"/>
        </w:rPr>
        <w:t>主编，</w:t>
      </w:r>
      <w:r>
        <w:rPr>
          <w:rFonts w:hint="eastAsia" w:ascii="宋体" w:hAnsi="宋体" w:cs="Times New Roman"/>
          <w:b/>
          <w:color w:val="000000"/>
          <w:sz w:val="24"/>
          <w:highlight w:val="none"/>
        </w:rPr>
        <w:t>经济科学出版社，2021年</w:t>
      </w:r>
      <w:bookmarkStart w:id="0" w:name="_GoBack"/>
      <w:bookmarkEnd w:id="0"/>
      <w:r>
        <w:rPr>
          <w:rFonts w:hint="eastAsia" w:ascii="宋体" w:hAnsi="宋体" w:cs="Times New Roman"/>
          <w:b/>
          <w:color w:val="000000"/>
          <w:sz w:val="24"/>
          <w:highlight w:val="none"/>
          <w:lang w:eastAsia="zh-CN"/>
        </w:rPr>
        <w:t>）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1</w:t>
      </w:r>
      <w:r>
        <w:rPr>
          <w:rFonts w:hint="eastAsia" w:ascii="宋体" w:hAnsi="宋体"/>
          <w:color w:val="000000"/>
          <w:sz w:val="24"/>
          <w:highlight w:val="none"/>
        </w:rPr>
        <w:t>．</w:t>
      </w:r>
      <w:r>
        <w:rPr>
          <w:rFonts w:hint="eastAsia" w:ascii="宋体" w:hAnsi="宋体"/>
          <w:kern w:val="0"/>
          <w:sz w:val="24"/>
          <w:highlight w:val="none"/>
        </w:rPr>
        <w:t>税收法制管理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税收法制体系；税收立法权限；税收立法程序；税收执法能力；税收执法监督。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2</w:t>
      </w:r>
      <w:r>
        <w:rPr>
          <w:rFonts w:hint="eastAsia" w:ascii="宋体" w:hAnsi="宋体"/>
          <w:kern w:val="0"/>
          <w:sz w:val="24"/>
          <w:highlight w:val="none"/>
        </w:rPr>
        <w:t>．纳税服务</w:t>
      </w:r>
    </w:p>
    <w:p>
      <w:pPr>
        <w:spacing w:line="360" w:lineRule="auto"/>
        <w:ind w:firstLine="420"/>
        <w:rPr>
          <w:rFonts w:ascii="宋体"/>
          <w:color w:val="000000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纳税服务的概念；纳税服务现状与问题；纳税服务体系建设；</w:t>
      </w:r>
      <w:r>
        <w:rPr>
          <w:rFonts w:hint="eastAsia" w:ascii="宋体" w:hAnsi="宋体"/>
          <w:color w:val="000000"/>
          <w:kern w:val="0"/>
          <w:sz w:val="24"/>
          <w:highlight w:val="none"/>
        </w:rPr>
        <w:t>税收文化；税收文化建设。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3</w:t>
      </w:r>
      <w:r>
        <w:rPr>
          <w:rFonts w:hint="eastAsia" w:ascii="宋体" w:hAnsi="宋体"/>
          <w:kern w:val="0"/>
          <w:sz w:val="24"/>
          <w:highlight w:val="none"/>
        </w:rPr>
        <w:t>．办税基本制度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税务登记制度创新；纳税申报方式；发票管理环节；金税工程；税款征收保障制度。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ascii="宋体" w:hAnsi="宋体"/>
          <w:kern w:val="0"/>
          <w:sz w:val="24"/>
          <w:highlight w:val="none"/>
        </w:rPr>
        <w:t>4</w:t>
      </w:r>
      <w:r>
        <w:rPr>
          <w:rFonts w:hint="eastAsia" w:ascii="宋体" w:hAnsi="宋体"/>
          <w:kern w:val="0"/>
          <w:sz w:val="24"/>
          <w:highlight w:val="none"/>
        </w:rPr>
        <w:t>．税务违法矫正</w:t>
      </w:r>
    </w:p>
    <w:p>
      <w:pPr>
        <w:spacing w:line="360" w:lineRule="auto"/>
        <w:ind w:firstLine="420"/>
        <w:rPr>
          <w:rFonts w:ascii="宋体"/>
          <w:kern w:val="0"/>
          <w:sz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  <w:lang w:eastAsia="zh-CN"/>
        </w:rPr>
        <w:t>税收分析的方法</w:t>
      </w:r>
      <w:r>
        <w:rPr>
          <w:rFonts w:hint="eastAsia" w:ascii="宋体" w:hAnsi="宋体"/>
          <w:kern w:val="0"/>
          <w:sz w:val="24"/>
          <w:highlight w:val="none"/>
        </w:rPr>
        <w:t>及其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业务流程</w:t>
      </w:r>
      <w:r>
        <w:rPr>
          <w:rFonts w:hint="eastAsia" w:ascii="宋体" w:hAnsi="宋体"/>
          <w:kern w:val="0"/>
          <w:sz w:val="24"/>
          <w:highlight w:val="none"/>
        </w:rPr>
        <w:t>；纳税评估的含义；税务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行政处罚</w:t>
      </w:r>
      <w:r>
        <w:rPr>
          <w:rFonts w:hint="eastAsia" w:ascii="宋体" w:hAnsi="宋体"/>
          <w:kern w:val="0"/>
          <w:sz w:val="24"/>
          <w:highlight w:val="none"/>
        </w:rPr>
        <w:t>的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原则与程序</w:t>
      </w:r>
      <w:r>
        <w:rPr>
          <w:rFonts w:hint="eastAsia" w:ascii="宋体" w:hAnsi="宋体"/>
          <w:kern w:val="0"/>
          <w:sz w:val="24"/>
          <w:highlight w:val="none"/>
        </w:rPr>
        <w:t>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检</w:t>
      </w:r>
      <w:r>
        <w:rPr>
          <w:rFonts w:hint="eastAsia" w:ascii="宋体" w:hAnsi="宋体"/>
          <w:kern w:val="0"/>
          <w:sz w:val="24"/>
          <w:highlight w:val="none"/>
        </w:rPr>
        <w:t>查的工作规程；税务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检</w:t>
      </w:r>
      <w:r>
        <w:rPr>
          <w:rFonts w:hint="eastAsia" w:ascii="宋体" w:hAnsi="宋体"/>
          <w:kern w:val="0"/>
          <w:sz w:val="24"/>
          <w:highlight w:val="none"/>
        </w:rPr>
        <w:t>查的</w:t>
      </w:r>
      <w:r>
        <w:rPr>
          <w:rFonts w:hint="eastAsia" w:ascii="宋体" w:hAnsi="宋体"/>
          <w:kern w:val="0"/>
          <w:sz w:val="24"/>
          <w:highlight w:val="none"/>
          <w:lang w:eastAsia="zh-CN"/>
        </w:rPr>
        <w:t>权限和要求</w:t>
      </w:r>
      <w:r>
        <w:rPr>
          <w:rFonts w:hint="eastAsia" w:ascii="宋体" w:hAnsi="宋体"/>
          <w:kern w:val="0"/>
          <w:sz w:val="24"/>
          <w:highlight w:val="none"/>
        </w:rPr>
        <w:t>。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批注框文本 字符"/>
    <w:basedOn w:val="6"/>
    <w:link w:val="3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9">
    <w:name w:val="页脚 字符"/>
    <w:basedOn w:val="6"/>
    <w:link w:val="4"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10">
    <w:name w:val="页眉 字符"/>
    <w:basedOn w:val="6"/>
    <w:link w:val="5"/>
    <w:qFormat/>
    <w:locked/>
    <w:uiPriority w:val="99"/>
    <w:rPr>
      <w:rFonts w:ascii="Times New Roman" w:hAnsi="Times New Roman" w:cs="Times New Roman"/>
      <w:sz w:val="18"/>
    </w:rPr>
  </w:style>
  <w:style w:type="character" w:customStyle="1" w:styleId="11">
    <w:name w:val="dash6b63-6587--cha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777</Words>
  <Characters>798</Characters>
  <Lines>5</Lines>
  <Paragraphs>1</Paragraphs>
  <TotalTime>0</TotalTime>
  <ScaleCrop>false</ScaleCrop>
  <LinksUpToDate>false</LinksUpToDate>
  <CharactersWithSpaces>799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2015-10-14T13:58:00Z</dcterms:created>
  <dc:creator>Microsoft</dc:creator>
  <cp:lastModifiedBy>穆越的iPhone</cp:lastModifiedBy>
  <cp:lastPrinted>2018-09-26T16:06:00Z</cp:lastPrinted>
  <dcterms:modified xsi:type="dcterms:W3CDTF">2023-09-06T16:44:03Z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69401165B47942CC8FE92D4E25C343BD_13</vt:lpwstr>
  </property>
</Properties>
</file>