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    </w:t>
      </w:r>
      <w:r>
        <w:rPr>
          <w:b/>
          <w:bCs/>
          <w:sz w:val="28"/>
          <w:szCs w:val="28"/>
          <w:u w:val="single"/>
        </w:rPr>
        <w:t>西方经济学</w:t>
      </w:r>
      <w:r>
        <w:rPr>
          <w:rFonts w:hint="eastAsia"/>
          <w:b/>
          <w:bCs/>
          <w:sz w:val="28"/>
          <w:szCs w:val="28"/>
          <w:u w:val="single"/>
        </w:rPr>
        <w:t xml:space="preserve">        科目代码：    </w:t>
      </w:r>
      <w:r>
        <w:rPr>
          <w:b/>
          <w:bCs/>
          <w:sz w:val="28"/>
          <w:szCs w:val="28"/>
          <w:u w:val="single"/>
        </w:rPr>
        <w:t>811</w:t>
      </w:r>
      <w:r>
        <w:rPr>
          <w:rFonts w:hint="eastAsia"/>
          <w:b/>
          <w:bCs/>
          <w:sz w:val="28"/>
          <w:szCs w:val="28"/>
          <w:u w:val="single"/>
        </w:rPr>
        <w:t xml:space="preserve">          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参考书目（所列参考书目仅供参考，非考试科目指定用书）： </w:t>
      </w:r>
    </w:p>
    <w:p>
      <w:pPr>
        <w:ind w:firstLine="1400" w:firstLineChars="5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《西方经济学》（第七版），高鸿业主编，中国人民大学出版社，2018年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考试形式</w:t>
      </w:r>
    </w:p>
    <w:p>
      <w:pPr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试卷满分：        </w:t>
      </w:r>
      <w:r>
        <w:rPr>
          <w:rFonts w:ascii="仿宋_GB2312" w:eastAsia="仿宋_GB2312"/>
          <w:sz w:val="28"/>
          <w:szCs w:val="28"/>
        </w:rPr>
        <w:t>150</w:t>
      </w:r>
      <w:r>
        <w:rPr>
          <w:rFonts w:hint="eastAsia" w:ascii="仿宋_GB2312" w:eastAsia="仿宋_GB2312"/>
          <w:sz w:val="28"/>
          <w:szCs w:val="28"/>
        </w:rPr>
        <w:t xml:space="preserve">分           考试时间：  </w:t>
      </w:r>
      <w:r>
        <w:rPr>
          <w:rFonts w:ascii="仿宋_GB2312" w:eastAsia="仿宋_GB2312"/>
          <w:sz w:val="28"/>
          <w:szCs w:val="28"/>
        </w:rPr>
        <w:t>180</w:t>
      </w:r>
      <w:r>
        <w:rPr>
          <w:rFonts w:hint="eastAsia" w:ascii="仿宋_GB2312" w:eastAsia="仿宋_GB2312"/>
          <w:sz w:val="28"/>
          <w:szCs w:val="28"/>
        </w:rPr>
        <w:t xml:space="preserve"> 分钟</w:t>
      </w:r>
    </w:p>
    <w:p>
      <w:pPr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答题方式：闭卷、笔试</w:t>
      </w:r>
    </w:p>
    <w:p>
      <w:pPr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各部分内容及占比</w:t>
      </w:r>
    </w:p>
    <w:p>
      <w:pPr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sz w:val="28"/>
          <w:szCs w:val="28"/>
        </w:rPr>
        <w:t>微观占70%左右，宏观占30%左右</w:t>
      </w:r>
    </w:p>
    <w:p>
      <w:pPr>
        <w:numPr>
          <w:ilvl w:val="0"/>
          <w:numId w:val="1"/>
        </w:numPr>
        <w:ind w:left="763"/>
        <w:rPr>
          <w:b/>
          <w:sz w:val="28"/>
          <w:szCs w:val="28"/>
        </w:rPr>
      </w:pPr>
      <w:r>
        <w:rPr>
          <w:b/>
          <w:sz w:val="28"/>
          <w:szCs w:val="28"/>
        </w:rPr>
        <w:t>考试内容范围：</w:t>
      </w:r>
    </w:p>
    <w:p>
      <w:pPr>
        <w:numPr>
          <w:ilvl w:val="0"/>
          <w:numId w:val="2"/>
        </w:numPr>
        <w:rPr>
          <w:rFonts w:eastAsia="黑体"/>
          <w:bCs/>
          <w:sz w:val="28"/>
          <w:szCs w:val="28"/>
        </w:rPr>
      </w:pPr>
      <w:bookmarkStart w:id="0" w:name="_Hlk12349171"/>
      <w:r>
        <w:rPr>
          <w:rFonts w:eastAsia="黑体"/>
          <w:bCs/>
          <w:sz w:val="28"/>
          <w:szCs w:val="28"/>
        </w:rPr>
        <w:t>微观部分</w:t>
      </w:r>
    </w:p>
    <w:p>
      <w:pPr>
        <w:ind w:firstLine="188" w:firstLineChars="67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1.1 需求、供给和价格</w:t>
      </w:r>
    </w:p>
    <w:p>
      <w:pPr>
        <w:ind w:left="424" w:leftChars="202" w:firstLine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微观经济学的特点、需求、供给、均衡价格、需求弹性和供给弹性、运用需求供给和均衡价格的事例</w:t>
      </w:r>
    </w:p>
    <w:p>
      <w:pPr>
        <w:ind w:firstLine="188" w:firstLineChars="67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1.2 消费者选择</w:t>
      </w:r>
    </w:p>
    <w:p>
      <w:pPr>
        <w:ind w:firstLine="557" w:firstLineChars="199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基数效用理论、序数效用理论、替代效应与收入效应  </w:t>
      </w:r>
    </w:p>
    <w:p>
      <w:pPr>
        <w:ind w:firstLine="188" w:firstLineChars="67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1.3 生产理论</w:t>
      </w:r>
    </w:p>
    <w:p>
      <w:pPr>
        <w:ind w:firstLine="557" w:firstLineChars="199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厂商和生产、短期生产函数、长期生产函数、成本、短期成本曲线、长期成本曲线</w:t>
      </w:r>
    </w:p>
    <w:p>
      <w:pPr>
        <w:ind w:firstLine="188" w:firstLineChars="67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1.4 市场理论</w:t>
      </w:r>
    </w:p>
    <w:p>
      <w:pPr>
        <w:ind w:firstLine="557" w:firstLineChars="199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完全竞争市场、完全垄断市场、垄断竞争市场、寡头垄断市场</w:t>
      </w:r>
    </w:p>
    <w:p>
      <w:pPr>
        <w:ind w:firstLine="188" w:firstLineChars="67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1.5 生产要素价格理论</w:t>
      </w:r>
    </w:p>
    <w:p>
      <w:pPr>
        <w:ind w:left="424" w:leftChars="202" w:firstLine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完全竞争厂商使用生产要素的原则与对生产要素的需求曲线、劳动供给和工资率的决定、土地供给和地租的决定、洛伦茨曲线与基尼系数</w:t>
      </w:r>
    </w:p>
    <w:p>
      <w:pPr>
        <w:ind w:firstLine="188" w:firstLineChars="67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1.6 博弈论</w:t>
      </w:r>
    </w:p>
    <w:p>
      <w:pPr>
        <w:ind w:left="424" w:leftChars="202" w:firstLine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博弈论与策略、完全信息静态博弈：纯策略博弈</w:t>
      </w:r>
    </w:p>
    <w:p>
      <w:pPr>
        <w:ind w:firstLine="188" w:firstLineChars="67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1.7 市场失灵与微观经济政策</w:t>
      </w:r>
    </w:p>
    <w:p>
      <w:pPr>
        <w:ind w:left="424" w:leftChars="202" w:firstLine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不完全竞争、外部性、公共物品与公共资源、信息不完全和不对称</w:t>
      </w:r>
    </w:p>
    <w:p>
      <w:pPr>
        <w:numPr>
          <w:ilvl w:val="0"/>
          <w:numId w:val="2"/>
        </w:numPr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宏观部分</w:t>
      </w:r>
    </w:p>
    <w:p>
      <w:pPr>
        <w:ind w:firstLine="188" w:firstLineChars="67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2.1 宏观经济的基本指标及其衡量</w:t>
      </w:r>
    </w:p>
    <w:p>
      <w:pPr>
        <w:ind w:left="424" w:leftChars="202" w:firstLine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宏观经济学的特点、国民生产总会及其核算方法、国民收入其他指标、国民收入基本公式、名义GDP和实际GDP、失业和物价水平的衡量</w:t>
      </w:r>
    </w:p>
    <w:p>
      <w:pPr>
        <w:ind w:firstLine="188" w:firstLineChars="67"/>
        <w:rPr>
          <w:b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2.2 国民收入的决定：收入支出模型</w:t>
      </w:r>
    </w:p>
    <w:p>
      <w:pPr>
        <w:ind w:left="424" w:leftChars="202" w:firstLine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均衡产出、凯恩斯的消费理论、两部门经济中国民收入的决定及其函数</w:t>
      </w:r>
    </w:p>
    <w:p>
      <w:pPr>
        <w:ind w:firstLine="188" w:firstLineChars="67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2.3 失业和通货膨胀</w:t>
      </w:r>
    </w:p>
    <w:p>
      <w:pPr>
        <w:ind w:left="424" w:leftChars="202" w:firstLine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失业的描述、原因和影响，通货膨胀的描述、原因和成本，失业与通货膨胀的关系</w:t>
      </w:r>
    </w:p>
    <w:p>
      <w:pPr>
        <w:ind w:firstLine="188" w:firstLineChars="67"/>
        <w:rPr>
          <w:b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2.4 宏观经济政策</w:t>
      </w:r>
    </w:p>
    <w:p>
      <w:pPr>
        <w:ind w:left="424" w:leftChars="202" w:firstLine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宏观经济政策目标以及经济政策的影响、财政政策及其效果（不包括IS-LM分析）、货币政策及其效果（不包括IS-LM分析）。</w:t>
      </w:r>
    </w:p>
    <w:bookmarkEnd w:id="0"/>
    <w:p>
      <w:pPr>
        <w:rPr>
          <w:b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67CB151B"/>
    <w:multiLevelType w:val="multilevel"/>
    <w:tmpl w:val="67CB151B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4E2F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57169"/>
    <w:rsid w:val="0097362E"/>
    <w:rsid w:val="009842E5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512BD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D1531F0"/>
    <w:rsid w:val="108A3F93"/>
    <w:rsid w:val="1DAD16CF"/>
    <w:rsid w:val="2B4C0FD7"/>
    <w:rsid w:val="34AF58B8"/>
    <w:rsid w:val="3A344A39"/>
    <w:rsid w:val="4C2653B0"/>
    <w:rsid w:val="53505B46"/>
    <w:rsid w:val="56CF5858"/>
    <w:rsid w:val="5A704E3D"/>
    <w:rsid w:val="7BA94B54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711</Characters>
  <Lines>5</Lines>
  <Paragraphs>1</Paragraphs>
  <TotalTime>0</TotalTime>
  <ScaleCrop>false</ScaleCrop>
  <LinksUpToDate>false</LinksUpToDate>
  <CharactersWithSpaces>834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2024-01-08T08:08:34Z</dcterms:modified>
  <dc:title>浙江师范大学2004年研究生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>
    <vt:lpwstr>6</vt:lpwstr>
  </property>
  <property fmtid="{D5CDD505-2E9C-101B-9397-08002B2CF9AE}" pid="4" name="ICV">
    <vt:lpwstr>7CAC37322B504B97AF2D6F43FC283510_13</vt:lpwstr>
  </property>
</Properties>
</file>