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jc w:val="center"/>
        <w:rPr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船舶货运</w:t>
      </w:r>
    </w:p>
    <w:p>
      <w:pPr>
        <w:spacing w:after="0" w:line="0" w:lineRule="atLeast"/>
        <w:ind w:left="0" w:right="0"/>
        <w:contextualSpacing/>
        <w:jc w:val="center"/>
        <w:rPr>
          <w:b/>
          <w:sz w:val="28"/>
          <w:szCs w:val="28"/>
        </w:rPr>
      </w:pPr>
    </w:p>
    <w:p>
      <w:pPr>
        <w:pStyle w:val="14"/>
        <w:rPr>
          <w:rFonts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</w:rPr>
        <w:t>一、</w:t>
      </w:r>
      <w:r>
        <w:rPr>
          <w:rFonts w:hint="eastAsia" w:ascii="宋体" w:hAnsi="宋体" w:eastAsia="宋体"/>
          <w:szCs w:val="28"/>
          <w:lang w:eastAsia="zh-CN"/>
        </w:rPr>
        <w:t>船舶与货物</w:t>
      </w:r>
    </w:p>
    <w:p>
      <w:pPr>
        <w:pStyle w:val="17"/>
        <w:spacing w:after="0" w:line="0" w:lineRule="atLeast"/>
        <w:ind w:left="0" w:right="0" w:firstLine="0" w:firstLineChars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船舶吃水与排水量；船舶载重线；船舶容重性能；货物积载因数与亏舱率；船舶载货能力核算。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  <w:r>
        <w:rPr>
          <w:b/>
          <w:sz w:val="28"/>
          <w:szCs w:val="28"/>
        </w:rPr>
        <w:t>：</w:t>
      </w:r>
    </w:p>
    <w:p>
      <w:pPr>
        <w:widowControl w:val="0"/>
        <w:spacing w:after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. 熟练掌握船舶平均吃水与排水量的计算；</w:t>
      </w:r>
    </w:p>
    <w:p>
      <w:pPr>
        <w:widowControl w:val="0"/>
        <w:spacing w:after="0" w:line="240" w:lineRule="auto"/>
        <w:ind w:left="0" w:right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. 了解载重线应用；</w:t>
      </w:r>
    </w:p>
    <w:p>
      <w:pPr>
        <w:adjustRightInd w:val="0"/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理解船舶容重性能及其应用；</w:t>
      </w:r>
    </w:p>
    <w:p>
      <w:pPr>
        <w:widowControl w:val="0"/>
        <w:spacing w:after="0" w:line="240" w:lineRule="auto"/>
        <w:ind w:left="0" w:righ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掌握货物积载因数与亏舱率的关系，理解积载因数的使用；</w:t>
      </w:r>
    </w:p>
    <w:p>
      <w:pPr>
        <w:widowControl w:val="0"/>
        <w:spacing w:after="0" w:line="240" w:lineRule="auto"/>
        <w:ind w:left="0" w:righ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熟练掌握船舶载货能力的核算方法。</w:t>
      </w:r>
    </w:p>
    <w:p>
      <w:pPr>
        <w:pStyle w:val="14"/>
        <w:rPr>
          <w:rFonts w:hint="eastAsia" w:ascii="宋体" w:hAnsi="宋体" w:eastAsia="宋体"/>
          <w:szCs w:val="28"/>
        </w:rPr>
      </w:pPr>
    </w:p>
    <w:p>
      <w:pPr>
        <w:pStyle w:val="14"/>
        <w:rPr>
          <w:rFonts w:hint="eastAsia" w:ascii="宋体" w:hAnsi="宋体" w:eastAsia="宋体"/>
          <w:szCs w:val="28"/>
          <w:lang w:eastAsia="zh-CN"/>
        </w:rPr>
      </w:pPr>
      <w:r>
        <w:rPr>
          <w:rFonts w:ascii="宋体" w:hAnsi="宋体" w:eastAsia="宋体"/>
          <w:szCs w:val="28"/>
        </w:rPr>
        <w:t>二、</w:t>
      </w:r>
      <w:r>
        <w:rPr>
          <w:rFonts w:hint="eastAsia" w:ascii="宋体" w:hAnsi="宋体" w:eastAsia="宋体"/>
          <w:szCs w:val="28"/>
          <w:lang w:eastAsia="zh-CN"/>
        </w:rPr>
        <w:t>包装危险货物运输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IMDG CODE包装危险货物分类及特性；包装危险货物包装及标志；包装危险货物积载与隔离。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充分了解包装危险货物的分类及特性、衡量指标；</w:t>
      </w:r>
    </w:p>
    <w:p>
      <w:pPr>
        <w:ind w:left="0"/>
        <w:rPr>
          <w:rFonts w:hint="eastAsia"/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熟练掌握包装的分类、要求、代码；了解标志的分类及应用；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3．</w:t>
      </w:r>
      <w:r>
        <w:rPr>
          <w:rFonts w:hint="eastAsia"/>
          <w:sz w:val="28"/>
          <w:szCs w:val="28"/>
        </w:rPr>
        <w:t>数量掌握积载原则、隔离等级、危险货物一览表及EMS、MFAG的使用。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</w:p>
    <w:p>
      <w:pPr>
        <w:pStyle w:val="14"/>
        <w:rPr>
          <w:rFonts w:ascii="宋体" w:hAnsi="宋体" w:eastAsia="宋体"/>
          <w:szCs w:val="28"/>
          <w:lang w:eastAsia="zh-CN"/>
        </w:rPr>
      </w:pPr>
      <w:r>
        <w:rPr>
          <w:rFonts w:ascii="宋体" w:hAnsi="宋体" w:eastAsia="宋体"/>
          <w:szCs w:val="28"/>
        </w:rPr>
        <w:t>三、</w:t>
      </w:r>
      <w:r>
        <w:rPr>
          <w:rFonts w:hint="eastAsia" w:ascii="宋体" w:hAnsi="宋体" w:eastAsia="宋体"/>
          <w:szCs w:val="28"/>
          <w:lang w:eastAsia="zh-CN"/>
        </w:rPr>
        <w:t>固体散装货物运输</w:t>
      </w:r>
    </w:p>
    <w:p>
      <w:pPr>
        <w:spacing w:after="0" w:line="0" w:lineRule="atLeast"/>
        <w:ind w:left="0" w:right="0"/>
        <w:contextualSpacing/>
        <w:jc w:val="both"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IMSBC中固体散装货物分类、特性及危险性；固体散货配装原则及要求；Loading Sequence编制；水尺计重计算。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充分了解A、B、C的特性及运输危险性；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．熟练掌握固体散货配载原则及安全装运要求；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3．</w:t>
      </w:r>
      <w:r>
        <w:rPr>
          <w:rFonts w:hint="eastAsia"/>
          <w:sz w:val="28"/>
          <w:szCs w:val="28"/>
        </w:rPr>
        <w:t>熟练掌握Loading Sequence的编制原则及注意事项；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4. 熟练掌握水尺计重的计算方法。</w:t>
      </w:r>
    </w:p>
    <w:p>
      <w:pPr>
        <w:pStyle w:val="14"/>
        <w:rPr>
          <w:rFonts w:hint="eastAsia" w:ascii="宋体" w:hAnsi="宋体" w:eastAsia="宋体"/>
          <w:szCs w:val="28"/>
        </w:rPr>
      </w:pPr>
    </w:p>
    <w:p>
      <w:pPr>
        <w:pStyle w:val="14"/>
        <w:rPr>
          <w:rFonts w:ascii="宋体" w:hAnsi="宋体" w:eastAsia="宋体"/>
          <w:szCs w:val="28"/>
          <w:lang w:eastAsia="zh-CN"/>
        </w:rPr>
      </w:pPr>
      <w:r>
        <w:rPr>
          <w:rFonts w:ascii="宋体" w:hAnsi="宋体" w:eastAsia="宋体"/>
          <w:szCs w:val="28"/>
        </w:rPr>
        <w:t>四、</w:t>
      </w:r>
      <w:r>
        <w:rPr>
          <w:rFonts w:hint="eastAsia" w:ascii="宋体" w:hAnsi="宋体" w:eastAsia="宋体"/>
          <w:szCs w:val="28"/>
          <w:lang w:eastAsia="zh-CN"/>
        </w:rPr>
        <w:t>散装谷物运输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散装谷物特性及对船舶稳性的影响；散装谷物船舶稳性核算；散装谷物安全装运。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1．了解散装谷物的海运特性及其对船舶稳性的影响；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熟练掌握散装谷物船舶稳性核算的方法及其原理；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3．</w:t>
      </w:r>
      <w:r>
        <w:rPr>
          <w:rFonts w:hint="eastAsia"/>
          <w:sz w:val="28"/>
          <w:szCs w:val="28"/>
        </w:rPr>
        <w:t>理解散装谷物安全装运原则及注意事项。</w:t>
      </w:r>
    </w:p>
    <w:p>
      <w:pPr>
        <w:pStyle w:val="14"/>
        <w:rPr>
          <w:rFonts w:hint="eastAsia" w:ascii="宋体" w:hAnsi="宋体" w:eastAsia="宋体"/>
          <w:szCs w:val="28"/>
        </w:rPr>
      </w:pPr>
    </w:p>
    <w:p>
      <w:pPr>
        <w:pStyle w:val="14"/>
        <w:rPr>
          <w:rFonts w:ascii="宋体" w:hAnsi="宋体" w:eastAsia="宋体"/>
          <w:szCs w:val="28"/>
          <w:lang w:eastAsia="zh-CN"/>
        </w:rPr>
      </w:pPr>
      <w:r>
        <w:rPr>
          <w:rFonts w:ascii="宋体" w:hAnsi="宋体" w:eastAsia="宋体"/>
          <w:szCs w:val="28"/>
        </w:rPr>
        <w:t>五、</w:t>
      </w:r>
      <w:r>
        <w:rPr>
          <w:rFonts w:hint="eastAsia" w:ascii="宋体" w:hAnsi="宋体" w:eastAsia="宋体"/>
          <w:szCs w:val="28"/>
          <w:lang w:eastAsia="zh-CN"/>
        </w:rPr>
        <w:t>液体散装货物运输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油船配载图编制；货物装卸计划制定；原油洗舱计划制定；（IBC）散装化学品安全装卸操作要求；货油计量方法和计量误差分析；液化气船安全管理及操作注意事项。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熟练掌握油船配载图编制、货物装卸计划制定、原油洗舱计划制定的原则和方法；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充分了解散装化学品、液化气安全装卸操作要求及注意事项；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3. 熟练掌握货油计量方法及误差分析。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4"/>
        <w:rPr>
          <w:rFonts w:ascii="宋体" w:hAnsi="宋体" w:eastAsia="宋体"/>
          <w:szCs w:val="28"/>
          <w:lang w:eastAsia="zh-CN"/>
        </w:rPr>
      </w:pPr>
      <w:r>
        <w:rPr>
          <w:rFonts w:ascii="宋体" w:hAnsi="宋体" w:eastAsia="宋体"/>
          <w:szCs w:val="28"/>
        </w:rPr>
        <w:t>六、</w:t>
      </w:r>
      <w:r>
        <w:rPr>
          <w:rFonts w:hint="eastAsia" w:ascii="宋体" w:hAnsi="宋体" w:eastAsia="宋体"/>
          <w:szCs w:val="28"/>
          <w:lang w:eastAsia="zh-CN"/>
        </w:rPr>
        <w:t>集装箱运输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集装箱分类及标志；集装箱船配载图的编制原则及注意事项；集装箱系固。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充分了解集装箱的分类及标识；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熟练掌握集装箱船配载图的编制流程、编制原则；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熟练掌握集装箱系固索具、集装箱系固手册、集装箱系固方法。</w:t>
      </w:r>
    </w:p>
    <w:p>
      <w:pPr>
        <w:spacing w:after="0" w:line="0" w:lineRule="atLeast"/>
        <w:ind w:right="0"/>
        <w:contextualSpacing/>
        <w:rPr>
          <w:sz w:val="28"/>
          <w:szCs w:val="28"/>
        </w:rPr>
      </w:pPr>
    </w:p>
    <w:p>
      <w:pPr>
        <w:pStyle w:val="14"/>
        <w:rPr>
          <w:rFonts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七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特种货物运输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货物单元积载与系固；货物系固手册；重大件货物安全装卸；钢材货物积载与系固；木材甲板货积载与系固。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熟练掌握顺货物单元积载与系固的原则与方法，尤其是非标准货物单元系固核算；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充分了解货物系固手册的内容及使用方法；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充分了解刚才货物积载与系固、木材甲板货积载与系固的原则和方法。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ind w:left="0"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《船舶货运》徐邦祯 田佰军  大连海事大学出版社 201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563823"/>
    <w:multiLevelType w:val="multilevel"/>
    <w:tmpl w:val="3E563823"/>
    <w:lvl w:ilvl="0" w:tentative="0">
      <w:start w:val="1"/>
      <w:numFmt w:val="bullet"/>
      <w:lvlText w:val=""/>
      <w:lvlJc w:val="left"/>
      <w:pPr>
        <w:tabs>
          <w:tab w:val="left" w:pos="540"/>
        </w:tabs>
        <w:ind w:left="5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380"/>
        </w:tabs>
        <w:ind w:left="13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00"/>
        </w:tabs>
        <w:ind w:left="18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220"/>
        </w:tabs>
        <w:ind w:left="22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640"/>
        </w:tabs>
        <w:ind w:left="26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060"/>
        </w:tabs>
        <w:ind w:left="30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480"/>
        </w:tabs>
        <w:ind w:left="34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00"/>
        </w:tabs>
        <w:ind w:left="39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35D"/>
    <w:rsid w:val="000B5B4D"/>
    <w:rsid w:val="000E4D18"/>
    <w:rsid w:val="0015184F"/>
    <w:rsid w:val="0018682D"/>
    <w:rsid w:val="00193369"/>
    <w:rsid w:val="001B0DE5"/>
    <w:rsid w:val="001B44C9"/>
    <w:rsid w:val="001E20AF"/>
    <w:rsid w:val="001F2DEF"/>
    <w:rsid w:val="001F5ADA"/>
    <w:rsid w:val="00202C56"/>
    <w:rsid w:val="002046C3"/>
    <w:rsid w:val="00223FB4"/>
    <w:rsid w:val="0025612B"/>
    <w:rsid w:val="0029471E"/>
    <w:rsid w:val="003475C9"/>
    <w:rsid w:val="00367B27"/>
    <w:rsid w:val="003D0BC3"/>
    <w:rsid w:val="003D2CB3"/>
    <w:rsid w:val="003D50A4"/>
    <w:rsid w:val="00404160"/>
    <w:rsid w:val="00424EB0"/>
    <w:rsid w:val="004658CD"/>
    <w:rsid w:val="00466143"/>
    <w:rsid w:val="004A7A80"/>
    <w:rsid w:val="00505086"/>
    <w:rsid w:val="005252E9"/>
    <w:rsid w:val="00556183"/>
    <w:rsid w:val="005B5FE4"/>
    <w:rsid w:val="005E1003"/>
    <w:rsid w:val="00665BED"/>
    <w:rsid w:val="006D6BB5"/>
    <w:rsid w:val="006F3DAE"/>
    <w:rsid w:val="006F53EA"/>
    <w:rsid w:val="007125FE"/>
    <w:rsid w:val="0074681C"/>
    <w:rsid w:val="007946F2"/>
    <w:rsid w:val="007C0CC0"/>
    <w:rsid w:val="00804613"/>
    <w:rsid w:val="00834518"/>
    <w:rsid w:val="00842994"/>
    <w:rsid w:val="00872423"/>
    <w:rsid w:val="008A3C0C"/>
    <w:rsid w:val="008D3363"/>
    <w:rsid w:val="008D5C6C"/>
    <w:rsid w:val="008F3B6E"/>
    <w:rsid w:val="008F739B"/>
    <w:rsid w:val="009424D2"/>
    <w:rsid w:val="00947992"/>
    <w:rsid w:val="00961A25"/>
    <w:rsid w:val="009C455B"/>
    <w:rsid w:val="00A33A4F"/>
    <w:rsid w:val="00A57B3E"/>
    <w:rsid w:val="00A62A2B"/>
    <w:rsid w:val="00A64306"/>
    <w:rsid w:val="00A719F7"/>
    <w:rsid w:val="00A74EF2"/>
    <w:rsid w:val="00A76104"/>
    <w:rsid w:val="00A86959"/>
    <w:rsid w:val="00A97B79"/>
    <w:rsid w:val="00AA0C4C"/>
    <w:rsid w:val="00AC3411"/>
    <w:rsid w:val="00AF113B"/>
    <w:rsid w:val="00B25951"/>
    <w:rsid w:val="00B56EFC"/>
    <w:rsid w:val="00BF104C"/>
    <w:rsid w:val="00BF43DE"/>
    <w:rsid w:val="00C0676F"/>
    <w:rsid w:val="00C07903"/>
    <w:rsid w:val="00C13CCB"/>
    <w:rsid w:val="00C20305"/>
    <w:rsid w:val="00C56922"/>
    <w:rsid w:val="00C63B7D"/>
    <w:rsid w:val="00C7040B"/>
    <w:rsid w:val="00C80F18"/>
    <w:rsid w:val="00C92B42"/>
    <w:rsid w:val="00CB624B"/>
    <w:rsid w:val="00CE5369"/>
    <w:rsid w:val="00D04BBD"/>
    <w:rsid w:val="00D27359"/>
    <w:rsid w:val="00DD4B50"/>
    <w:rsid w:val="00DF1538"/>
    <w:rsid w:val="00DF7B2D"/>
    <w:rsid w:val="00E22B42"/>
    <w:rsid w:val="00E3104E"/>
    <w:rsid w:val="00E55197"/>
    <w:rsid w:val="00E61FD4"/>
    <w:rsid w:val="00E8172F"/>
    <w:rsid w:val="00EA1DF9"/>
    <w:rsid w:val="00EC7C0B"/>
    <w:rsid w:val="00EE75E8"/>
    <w:rsid w:val="00F12A38"/>
    <w:rsid w:val="00F258E9"/>
    <w:rsid w:val="00FC54FF"/>
    <w:rsid w:val="00FC6167"/>
    <w:rsid w:val="00FD12BD"/>
    <w:rsid w:val="00FF3583"/>
    <w:rsid w:val="28BC14B8"/>
    <w:rsid w:val="7B463D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2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semiHidden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 Indent"/>
    <w:basedOn w:val="1"/>
    <w:link w:val="19"/>
    <w:semiHidden/>
    <w:unhideWhenUsed/>
    <w:uiPriority w:val="0"/>
    <w:pPr>
      <w:spacing w:after="120"/>
      <w:ind w:left="420" w:leftChars="200"/>
    </w:pPr>
    <w:rPr>
      <w:rFonts w:cs="Times New Roman"/>
    </w:rPr>
  </w:style>
  <w:style w:type="paragraph" w:styleId="4">
    <w:name w:val="Plain Text"/>
    <w:basedOn w:val="1"/>
    <w:link w:val="21"/>
    <w:uiPriority w:val="0"/>
    <w:pPr>
      <w:widowControl w:val="0"/>
      <w:spacing w:after="0" w:line="240" w:lineRule="auto"/>
      <w:ind w:left="0" w:right="0"/>
      <w:jc w:val="both"/>
    </w:pPr>
    <w:rPr>
      <w:rFonts w:hAnsi="Courier New" w:cs="Times New Roman"/>
      <w:color w:val="auto"/>
      <w:szCs w:val="21"/>
    </w:rPr>
  </w:style>
  <w:style w:type="paragraph" w:styleId="5">
    <w:name w:val="Balloon Text"/>
    <w:basedOn w:val="1"/>
    <w:link w:val="20"/>
    <w:semiHidden/>
    <w:unhideWhenUsed/>
    <w:uiPriority w:val="0"/>
    <w:pPr>
      <w:spacing w:after="0" w:line="240" w:lineRule="auto"/>
    </w:pPr>
    <w:rPr>
      <w:rFonts w:cs="Times New Roman"/>
      <w:sz w:val="18"/>
      <w:szCs w:val="18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7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paragraph" w:styleId="8">
    <w:name w:val="Body Text Indent 3"/>
    <w:basedOn w:val="1"/>
    <w:link w:val="18"/>
    <w:uiPriority w:val="0"/>
    <w:pPr>
      <w:widowControl w:val="0"/>
      <w:tabs>
        <w:tab w:val="left" w:pos="1530"/>
      </w:tabs>
      <w:spacing w:after="0" w:line="240" w:lineRule="auto"/>
      <w:ind w:left="-2" w:leftChars="-1" w:right="0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11">
    <w:name w:val="页眉 Char"/>
    <w:link w:val="7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3">
    <w:name w:val="样式1 Char"/>
    <w:link w:val="14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4">
    <w:name w:val="样式1"/>
    <w:basedOn w:val="1"/>
    <w:link w:val="13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5">
    <w:name w:val="页脚 Char"/>
    <w:link w:val="6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6">
    <w:name w:val="Placeholder Text"/>
    <w:semiHidden/>
    <w:uiPriority w:val="99"/>
    <w:rPr>
      <w:color w:val="808080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正文文本缩进 3 Char"/>
    <w:link w:val="8"/>
    <w:uiPriority w:val="0"/>
    <w:rPr>
      <w:kern w:val="2"/>
      <w:sz w:val="24"/>
      <w:szCs w:val="24"/>
    </w:rPr>
  </w:style>
  <w:style w:type="character" w:customStyle="1" w:styleId="19">
    <w:name w:val="正文文本缩进 Char"/>
    <w:link w:val="3"/>
    <w:semiHidden/>
    <w:uiPriority w:val="0"/>
    <w:rPr>
      <w:rFonts w:ascii="宋体" w:hAnsi="宋体" w:cs="宋体"/>
      <w:color w:val="000000"/>
      <w:kern w:val="2"/>
      <w:sz w:val="21"/>
      <w:szCs w:val="22"/>
    </w:rPr>
  </w:style>
  <w:style w:type="character" w:customStyle="1" w:styleId="20">
    <w:name w:val="批注框文本 Char"/>
    <w:link w:val="5"/>
    <w:semiHidden/>
    <w:uiPriority w:val="0"/>
    <w:rPr>
      <w:rFonts w:ascii="宋体" w:hAnsi="宋体" w:cs="宋体"/>
      <w:color w:val="000000"/>
      <w:kern w:val="2"/>
      <w:sz w:val="18"/>
      <w:szCs w:val="18"/>
    </w:rPr>
  </w:style>
  <w:style w:type="character" w:customStyle="1" w:styleId="21">
    <w:name w:val="纯文本 Char"/>
    <w:link w:val="4"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1001</Characters>
  <Lines>8</Lines>
  <Paragraphs>2</Paragraphs>
  <TotalTime>0</TotalTime>
  <ScaleCrop>false</ScaleCrop>
  <LinksUpToDate>false</LinksUpToDate>
  <CharactersWithSpaces>1174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2014-08-30T05:22:00Z</dcterms:created>
  <dc:creator>huoyun</dc:creator>
  <cp:lastModifiedBy>vertesyuan</cp:lastModifiedBy>
  <cp:lastPrinted>2014-08-27T04:20:00Z</cp:lastPrinted>
  <dcterms:modified xsi:type="dcterms:W3CDTF">2024-01-09T06:41:51Z</dcterms:modified>
  <dc:title>2014年数学考研大纲(数学一)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48A32ECA5D5542D59FA43C7DBFFBABAA_13</vt:lpwstr>
  </property>
</Properties>
</file>