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0000CC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考试科目：环境保护概论</w:t>
      </w: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一、生态学基础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当前环境问题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环境科学的内容和分科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生态学定义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生态系统的基本概念、组成、结构和类型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生态系统的功能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生态平衡的概念、影响因素、失调标志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生态学在环境保护中的应用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了解当前主要环境问题；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理解环境科学的定义、内容和学科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掌握生态学定义、基本概念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理解生态系统的组成、结构和类型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掌握生态系统的功能；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理解生态平衡稳定因素、平衡因素及失调标志、生态平衡恢复与再建技术；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了解生态学在环境保护中的应用。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CC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二、可持续发展战略、环境保护与资源保护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环境与发展的辩证关系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可持续发展的必然趋势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环境与发展的对策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基本概念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自然资源的分类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土地资源的利用与保护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生物资源的利用与保护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矿产资源的合理利用与保护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了解可持续发展的内容、意义；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了解中国可持续发展战略；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了解环境保护与资源保护的基本概念、自然资源的分类；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了解土地资源、生物资源、矿产资源的利用与保护。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CC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三、大气污染及其防治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大气污染的含义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环境空气的质量标准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大气污染源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主要大气污染物及其发生机制</w:t>
      </w:r>
    </w:p>
    <w:p>
      <w:pPr>
        <w:spacing w:after="0" w:line="0" w:lineRule="atLeast"/>
        <w:ind w:left="0" w:right="0"/>
        <w:contextualSpacing/>
        <w:rPr>
          <w:rFonts w:hint="eastAsia"/>
          <w:color w:val="0000CC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影响大气污染的气象因素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大气污染的防治技术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了解大气污染的含义；</w:t>
      </w: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理解环境空气的质量标准、大气污染综合排放等重要排放标准；</w:t>
      </w: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了解大气污染源，理解主要大气污染物及其发生机制；</w:t>
      </w: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理解影响大气污染的气象动力因子和气象热力因子；</w:t>
      </w: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掌握大气污染的各种防治技术。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四、水污染及其防治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水质指标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水质标准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水体污染源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废水的成分和性质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水体自净作用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水环境容量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水污染防治的原则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废水处理技术及流程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污泥处理技术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废水再利用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了解水质指标、理解水质标准</w:t>
      </w:r>
    </w:p>
    <w:p>
      <w:pPr>
        <w:numPr>
          <w:ilvl w:val="0"/>
          <w:numId w:val="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了解水体污染源、废水成分和性质；</w:t>
      </w:r>
    </w:p>
    <w:p>
      <w:pPr>
        <w:numPr>
          <w:ilvl w:val="0"/>
          <w:numId w:val="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理解水体自净作用与水环境容量；</w:t>
      </w:r>
    </w:p>
    <w:p>
      <w:pPr>
        <w:numPr>
          <w:ilvl w:val="0"/>
          <w:numId w:val="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理解水污染防治的原则；</w:t>
      </w:r>
    </w:p>
    <w:p>
      <w:pPr>
        <w:numPr>
          <w:ilvl w:val="0"/>
          <w:numId w:val="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掌握废水、污泥处理技术，废水处理流程；</w:t>
      </w:r>
    </w:p>
    <w:p>
      <w:pPr>
        <w:numPr>
          <w:ilvl w:val="0"/>
          <w:numId w:val="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了解废水的再利用。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五、土壤环境污染防治与土壤生态保护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土壤的环境元素背景值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土壤环境容量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土壤环境污染的影响因素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土壤生态保护与土壤退化的防治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土壤环境质量评价、规划与管理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5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理解土壤的环境元素背景值，掌握土壤环境容量计算；</w:t>
      </w:r>
    </w:p>
    <w:p>
      <w:pPr>
        <w:numPr>
          <w:ilvl w:val="0"/>
          <w:numId w:val="5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了解土壤环境污染及其影响因素，掌握污染防治技术；</w:t>
      </w:r>
    </w:p>
    <w:p>
      <w:pPr>
        <w:numPr>
          <w:ilvl w:val="0"/>
          <w:numId w:val="5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了解土壤退化原因、退化类型，理解防治技术；</w:t>
      </w:r>
    </w:p>
    <w:p>
      <w:pPr>
        <w:numPr>
          <w:ilvl w:val="0"/>
          <w:numId w:val="5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掌握土壤环境质量评价方法，理解土壤的规划与管理。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六、声学环境保护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环境噪声的特征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噪声源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噪声评价指标和方法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噪声污染控制技术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声学环境综合整治对策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6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了解环境噪声的特征；</w:t>
      </w:r>
    </w:p>
    <w:p>
      <w:pPr>
        <w:numPr>
          <w:ilvl w:val="0"/>
          <w:numId w:val="6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了解环境噪声源及类型；</w:t>
      </w:r>
    </w:p>
    <w:p>
      <w:pPr>
        <w:numPr>
          <w:ilvl w:val="0"/>
          <w:numId w:val="6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掌握噪声评价指标和方法；</w:t>
      </w:r>
    </w:p>
    <w:p>
      <w:pPr>
        <w:numPr>
          <w:ilvl w:val="0"/>
          <w:numId w:val="6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掌握噪声污染控制技术；</w:t>
      </w:r>
    </w:p>
    <w:p>
      <w:pPr>
        <w:numPr>
          <w:ilvl w:val="0"/>
          <w:numId w:val="6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了解声学环境综合整治对策。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color w:val="auto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七、固体废物的处理、处置和利用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固体废物的处理、处置和利用的基本概念和原则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工矿业固体废物的利用和处理、处置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危险废物的处理、处置和利用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城市垃圾的处理、处置和利用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7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理解固体废物的处理、处置和利用的基本概念和原则；</w:t>
      </w:r>
      <w:r>
        <w:rPr>
          <w:rFonts w:hint="eastAsia"/>
          <w:color w:val="auto"/>
          <w:sz w:val="28"/>
          <w:szCs w:val="28"/>
        </w:rPr>
        <w:tab/>
      </w:r>
    </w:p>
    <w:p>
      <w:pPr>
        <w:numPr>
          <w:ilvl w:val="0"/>
          <w:numId w:val="7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掌握工矿业固体废物的利用和处理、处置；</w:t>
      </w:r>
      <w:r>
        <w:rPr>
          <w:rFonts w:hint="eastAsia"/>
          <w:color w:val="auto"/>
          <w:sz w:val="28"/>
          <w:szCs w:val="28"/>
        </w:rPr>
        <w:tab/>
      </w:r>
    </w:p>
    <w:p>
      <w:pPr>
        <w:numPr>
          <w:ilvl w:val="0"/>
          <w:numId w:val="7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掌握危险废物的处理、处置和利用;</w:t>
      </w:r>
    </w:p>
    <w:p>
      <w:pPr>
        <w:numPr>
          <w:ilvl w:val="0"/>
          <w:numId w:val="7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掌握城市垃圾的处理、处置和利用。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CC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八、其他物理性污染及防治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放射性污染与防治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电磁辐射污染与防治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光污染与防治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热污染与防治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8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了解放射性污染与防治技术</w:t>
      </w:r>
    </w:p>
    <w:p>
      <w:pPr>
        <w:numPr>
          <w:ilvl w:val="0"/>
          <w:numId w:val="8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了解电磁辐射污染与防治技术；</w:t>
      </w:r>
    </w:p>
    <w:p>
      <w:pPr>
        <w:numPr>
          <w:ilvl w:val="0"/>
          <w:numId w:val="8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了解光污染与防治技术；</w:t>
      </w:r>
    </w:p>
    <w:p>
      <w:pPr>
        <w:numPr>
          <w:ilvl w:val="0"/>
          <w:numId w:val="8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了解热污染与防治技术。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FF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九、环境质量评价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0000FF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环境质量评价类型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环境质量现状评价程序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现状评价的内容和方法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环境影响评价程序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环境影响评价类型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环境影响评价报告书的编制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9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了解环境质量评价类型；</w:t>
      </w:r>
    </w:p>
    <w:p>
      <w:pPr>
        <w:numPr>
          <w:ilvl w:val="0"/>
          <w:numId w:val="9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理解环境质量现状评价程序；</w:t>
      </w:r>
    </w:p>
    <w:p>
      <w:pPr>
        <w:numPr>
          <w:ilvl w:val="0"/>
          <w:numId w:val="9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了解现状评价的内容和方法</w:t>
      </w:r>
    </w:p>
    <w:p>
      <w:pPr>
        <w:numPr>
          <w:ilvl w:val="0"/>
          <w:numId w:val="9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理解环境影响评价程序；</w:t>
      </w:r>
    </w:p>
    <w:p>
      <w:pPr>
        <w:numPr>
          <w:ilvl w:val="0"/>
          <w:numId w:val="9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掌握环境影响评价类型、方法；</w:t>
      </w:r>
    </w:p>
    <w:p>
      <w:pPr>
        <w:numPr>
          <w:ilvl w:val="0"/>
          <w:numId w:val="9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了解环境影响评价报告书的编制。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FF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十、环境管理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环境管理基本概念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环境管理理论基础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环境管理基本职能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环境管理类型及内容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环境管理技术方法和管理制度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中国环境管理对策和发展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10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理解环境管理基本概念；</w:t>
      </w:r>
    </w:p>
    <w:p>
      <w:pPr>
        <w:numPr>
          <w:ilvl w:val="0"/>
          <w:numId w:val="10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掌握环境管理理论基础；</w:t>
      </w:r>
    </w:p>
    <w:p>
      <w:pPr>
        <w:numPr>
          <w:ilvl w:val="0"/>
          <w:numId w:val="10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了解环境管理基本职能；</w:t>
      </w:r>
    </w:p>
    <w:p>
      <w:pPr>
        <w:numPr>
          <w:ilvl w:val="0"/>
          <w:numId w:val="10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理解环境管理类型及内容；</w:t>
      </w:r>
    </w:p>
    <w:p>
      <w:pPr>
        <w:numPr>
          <w:ilvl w:val="0"/>
          <w:numId w:val="10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掌握环境管理技术方法和管理制度；</w:t>
      </w:r>
    </w:p>
    <w:p>
      <w:pPr>
        <w:numPr>
          <w:ilvl w:val="0"/>
          <w:numId w:val="10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了解中国环境管理对策和发展。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FF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十一、环境经济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环境经济学研究对象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环境经济学研究内容、特点 环境保护经济效益 环境保护经济手段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1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了解环境经济学研究对象，了解环境经济学研究内容、特点；</w:t>
      </w:r>
    </w:p>
    <w:p>
      <w:pPr>
        <w:numPr>
          <w:ilvl w:val="0"/>
          <w:numId w:val="11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理解环境保护经济效益，掌握环境保护经济手段。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CC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十二、环境法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环境法的使用范围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环境管理体制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环境法的基本原则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环境法的基本制度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1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了解环境法的使用范围；</w:t>
      </w:r>
    </w:p>
    <w:p>
      <w:pPr>
        <w:numPr>
          <w:ilvl w:val="0"/>
          <w:numId w:val="1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了解环境管理体制；</w:t>
      </w:r>
    </w:p>
    <w:p>
      <w:pPr>
        <w:numPr>
          <w:ilvl w:val="0"/>
          <w:numId w:val="1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掌握环境法的基本原则；</w:t>
      </w:r>
    </w:p>
    <w:p>
      <w:pPr>
        <w:numPr>
          <w:ilvl w:val="0"/>
          <w:numId w:val="12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理解环境法的基本制度。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CC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十三、环境标准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环境质量标准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污染物排放标准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污染物控制技术标准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污染物劲爆标准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制定环境质量标准的原则和方法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13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理解环境标准的种类和作用；</w:t>
      </w:r>
    </w:p>
    <w:p>
      <w:pPr>
        <w:numPr>
          <w:ilvl w:val="0"/>
          <w:numId w:val="13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理解制定环境质量标准的原则和方法。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0000CC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十四、环境监测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0000FF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环境监测的基本概念、内容和分类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环境监测的原则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环境监测中污染物分析方法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环境监测方案的制定</w:t>
      </w:r>
      <w:r>
        <w:rPr>
          <w:rFonts w:hint="eastAsia"/>
          <w:color w:val="auto"/>
          <w:sz w:val="28"/>
          <w:szCs w:val="28"/>
        </w:rPr>
        <w:tab/>
      </w:r>
      <w:r>
        <w:rPr>
          <w:rFonts w:hint="eastAsia"/>
          <w:color w:val="auto"/>
          <w:sz w:val="28"/>
          <w:szCs w:val="28"/>
        </w:rPr>
        <w:t>环境监测的质量控制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numPr>
          <w:ilvl w:val="0"/>
          <w:numId w:val="1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了解环境监测的基本概念、内容和分类；</w:t>
      </w:r>
      <w:r>
        <w:rPr>
          <w:rFonts w:hint="eastAsia"/>
          <w:color w:val="auto"/>
          <w:sz w:val="28"/>
          <w:szCs w:val="28"/>
        </w:rPr>
        <w:tab/>
      </w:r>
    </w:p>
    <w:p>
      <w:pPr>
        <w:numPr>
          <w:ilvl w:val="0"/>
          <w:numId w:val="1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理解环境监测的原则；</w:t>
      </w:r>
      <w:r>
        <w:rPr>
          <w:rFonts w:hint="eastAsia"/>
          <w:color w:val="auto"/>
          <w:sz w:val="28"/>
          <w:szCs w:val="28"/>
        </w:rPr>
        <w:tab/>
      </w:r>
    </w:p>
    <w:p>
      <w:pPr>
        <w:numPr>
          <w:ilvl w:val="0"/>
          <w:numId w:val="1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掌握环境监测中污染物分析方法；</w:t>
      </w:r>
      <w:r>
        <w:rPr>
          <w:rFonts w:hint="eastAsia"/>
          <w:color w:val="auto"/>
          <w:sz w:val="28"/>
          <w:szCs w:val="28"/>
        </w:rPr>
        <w:tab/>
      </w:r>
    </w:p>
    <w:p>
      <w:pPr>
        <w:numPr>
          <w:ilvl w:val="0"/>
          <w:numId w:val="1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理解环境监测方案的制定；</w:t>
      </w:r>
    </w:p>
    <w:p>
      <w:pPr>
        <w:numPr>
          <w:ilvl w:val="0"/>
          <w:numId w:val="14"/>
        </w:num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理解环境监测的质量控制。</w:t>
      </w:r>
    </w:p>
    <w:p>
      <w:pPr>
        <w:spacing w:after="0" w:line="0" w:lineRule="atLeast"/>
        <w:ind w:right="0"/>
        <w:contextualSpacing/>
        <w:rPr>
          <w:rFonts w:hint="eastAsia"/>
          <w:color w:val="auto"/>
          <w:sz w:val="28"/>
          <w:szCs w:val="28"/>
        </w:rPr>
      </w:pPr>
    </w:p>
    <w:p>
      <w:pPr>
        <w:numPr>
          <w:ilvl w:val="1"/>
          <w:numId w:val="14"/>
        </w:numPr>
        <w:spacing w:after="0" w:line="0" w:lineRule="atLeast"/>
        <w:ind w:right="0"/>
        <w:contextualSpacing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《环境保护概论》 林肇信  高等教育出版社</w:t>
      </w:r>
    </w:p>
    <w:p>
      <w:pPr>
        <w:spacing w:after="0" w:line="0" w:lineRule="atLeast"/>
        <w:ind w:left="420" w:right="0"/>
        <w:contextualSpacing/>
        <w:rPr>
          <w:rFonts w:hint="eastAsia"/>
          <w:color w:val="auto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D7F50"/>
    <w:multiLevelType w:val="multilevel"/>
    <w:tmpl w:val="0F1D7F5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462E92"/>
    <w:multiLevelType w:val="multilevel"/>
    <w:tmpl w:val="16462E9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0F64124"/>
    <w:multiLevelType w:val="multilevel"/>
    <w:tmpl w:val="20F6412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9682F50"/>
    <w:multiLevelType w:val="multilevel"/>
    <w:tmpl w:val="29682F5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E7E5CBF"/>
    <w:multiLevelType w:val="multilevel"/>
    <w:tmpl w:val="2E7E5CB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3952A38"/>
    <w:multiLevelType w:val="multilevel"/>
    <w:tmpl w:val="33952A3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F782396"/>
    <w:multiLevelType w:val="multilevel"/>
    <w:tmpl w:val="3F78239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4C163BE"/>
    <w:multiLevelType w:val="multilevel"/>
    <w:tmpl w:val="44C163B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0CC77CD"/>
    <w:multiLevelType w:val="multilevel"/>
    <w:tmpl w:val="50CC77C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6AF4739"/>
    <w:multiLevelType w:val="multilevel"/>
    <w:tmpl w:val="56AF473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90E414A"/>
    <w:multiLevelType w:val="multilevel"/>
    <w:tmpl w:val="590E414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EFE0E61"/>
    <w:multiLevelType w:val="multilevel"/>
    <w:tmpl w:val="5EFE0E6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39E635A"/>
    <w:multiLevelType w:val="multilevel"/>
    <w:tmpl w:val="639E635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73106EF4"/>
    <w:multiLevelType w:val="multilevel"/>
    <w:tmpl w:val="73106EF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27166"/>
    <w:rsid w:val="005618FF"/>
    <w:rsid w:val="0067588B"/>
    <w:rsid w:val="00C927F9"/>
    <w:rsid w:val="56E37CAC"/>
    <w:rsid w:val="7CAA4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1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330</Words>
  <Characters>1882</Characters>
  <Lines>15</Lines>
  <Paragraphs>4</Paragraphs>
  <TotalTime>0</TotalTime>
  <ScaleCrop>false</ScaleCrop>
  <LinksUpToDate>false</LinksUpToDate>
  <CharactersWithSpaces>2208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2019-07-16T02:56:00Z</dcterms:created>
  <dc:creator>user</dc:creator>
  <cp:lastModifiedBy>vertesyuan</cp:lastModifiedBy>
  <dcterms:modified xsi:type="dcterms:W3CDTF">2024-01-09T06:44:57Z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2154037B93894EC093671881480324E3_13</vt:lpwstr>
  </property>
</Properties>
</file>