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黑体" w:hAnsi="黑体" w:eastAsia="黑体" w:cs="黑体"/>
          <w:sz w:val="36"/>
          <w:szCs w:val="36"/>
        </w:rPr>
      </w:pPr>
      <w:bookmarkStart w:id="0" w:name="_GoBack"/>
      <w:bookmarkEnd w:id="0"/>
      <w:r>
        <w:rPr>
          <w:rFonts w:hint="eastAsia" w:ascii="黑体" w:hAnsi="黑体" w:eastAsia="黑体" w:cs="黑体"/>
          <w:sz w:val="36"/>
          <w:szCs w:val="36"/>
        </w:rPr>
        <w:t>金融学 020204</w:t>
      </w:r>
    </w:p>
    <w:p>
      <w:pPr>
        <w:adjustRightInd w:val="0"/>
        <w:snapToGrid w:val="0"/>
        <w:jc w:val="center"/>
        <w:rPr>
          <w:rFonts w:hint="eastAsia" w:ascii="黑体" w:hAnsi="黑体" w:eastAsia="黑体" w:cs="黑体"/>
          <w:sz w:val="36"/>
          <w:szCs w:val="36"/>
        </w:rPr>
      </w:pPr>
    </w:p>
    <w:p>
      <w:pPr>
        <w:adjustRightInd w:val="0"/>
        <w:snapToGrid w:val="0"/>
        <w:spacing w:line="360" w:lineRule="auto"/>
        <w:rPr>
          <w:rFonts w:hint="eastAsia" w:ascii="宋体" w:hAnsi="宋体" w:cs="宋体"/>
          <w:sz w:val="24"/>
        </w:rPr>
      </w:pPr>
      <w:r>
        <w:rPr>
          <w:rFonts w:hint="eastAsia" w:ascii="宋体" w:hAnsi="宋体" w:cs="宋体"/>
          <w:b/>
          <w:bCs/>
          <w:sz w:val="24"/>
        </w:rPr>
        <w:t>学科点简介：</w:t>
      </w:r>
      <w:r>
        <w:rPr>
          <w:rFonts w:hint="eastAsia" w:ascii="宋体" w:hAnsi="宋体" w:cs="宋体"/>
          <w:sz w:val="24"/>
        </w:rPr>
        <w:t>广东财经大学金融学专业拥有贯穿本硕博的完整人才培养体系。</w:t>
      </w:r>
      <w:r>
        <w:rPr>
          <w:rFonts w:hint="eastAsia" w:ascii="宋体" w:hAnsi="宋体" w:cs="宋体"/>
          <w:bCs/>
          <w:sz w:val="24"/>
        </w:rPr>
        <w:t>学院拥有金融学、投资学、保险学三个国家一流专业建设点</w:t>
      </w:r>
      <w:r>
        <w:rPr>
          <w:rFonts w:hint="eastAsia" w:ascii="宋体" w:hAnsi="宋体" w:cs="宋体"/>
          <w:bCs/>
          <w:sz w:val="24"/>
          <w:lang w:eastAsia="zh-CN"/>
        </w:rPr>
        <w:t>，</w:t>
      </w:r>
      <w:r>
        <w:rPr>
          <w:rFonts w:hint="eastAsia" w:ascii="宋体" w:hAnsi="宋体" w:cs="宋体"/>
          <w:bCs/>
          <w:sz w:val="24"/>
        </w:rPr>
        <w:t>金融工程广东省一流专业建设点</w:t>
      </w:r>
      <w:r>
        <w:rPr>
          <w:rFonts w:hint="eastAsia" w:ascii="宋体" w:hAnsi="宋体" w:cs="宋体"/>
          <w:bCs/>
          <w:sz w:val="24"/>
          <w:lang w:val="en-US" w:eastAsia="zh-CN"/>
        </w:rPr>
        <w:t>和金融科技专业</w:t>
      </w:r>
      <w:r>
        <w:rPr>
          <w:rFonts w:hint="eastAsia" w:ascii="宋体" w:hAnsi="宋体" w:cs="宋体"/>
          <w:bCs/>
          <w:sz w:val="24"/>
        </w:rPr>
        <w:t>，</w:t>
      </w:r>
      <w:r>
        <w:rPr>
          <w:rFonts w:hint="eastAsia" w:ascii="宋体" w:hAnsi="宋体" w:cs="宋体"/>
          <w:sz w:val="24"/>
        </w:rPr>
        <w:t>所属一级学科应用经济学为省级优势重点学科。2003年获得金融学硕士学位授予权，201</w:t>
      </w:r>
      <w:r>
        <w:rPr>
          <w:rFonts w:hint="eastAsia" w:ascii="宋体" w:hAnsi="宋体" w:cs="宋体"/>
          <w:sz w:val="24"/>
          <w:lang w:val="en-US" w:eastAsia="zh-CN"/>
        </w:rPr>
        <w:t>0</w:t>
      </w:r>
      <w:r>
        <w:rPr>
          <w:rFonts w:hint="eastAsia" w:ascii="宋体" w:hAnsi="宋体" w:cs="宋体"/>
          <w:sz w:val="24"/>
        </w:rPr>
        <w:t>年获得全国首批金融硕士学位授予权，2021年金融学所属一级学科获批为应用经济学博士学位授权点。</w:t>
      </w:r>
      <w:r>
        <w:rPr>
          <w:rFonts w:hint="eastAsia" w:ascii="宋体" w:hAnsi="宋体" w:cs="宋体"/>
          <w:color w:val="auto"/>
          <w:sz w:val="24"/>
        </w:rPr>
        <w:t>现有专任教师78人，95%以上的教师具有博士学位，40%以上教师具备海外经历。其中教授20人，副教授22人，博士生、硕士生导师48人，校外导师63人，教</w:t>
      </w:r>
      <w:r>
        <w:rPr>
          <w:rFonts w:hint="eastAsia" w:ascii="宋体" w:hAnsi="宋体" w:cs="宋体"/>
          <w:sz w:val="24"/>
        </w:rPr>
        <w:t>育部新世纪优秀人才、教育部金融教指委委员、珠江学者、南粤优秀教师、广州市高层次金融人才等各类高层次人才10余人次。目前拥有2个省级科研平台（科技金融协同中心和地方金融研究院），2支省级科研团队（产业金融团队、地方金融风险监测防控团队）。近年</w:t>
      </w:r>
      <w:r>
        <w:rPr>
          <w:rFonts w:hint="eastAsia" w:ascii="宋体" w:hAnsi="宋体" w:cs="宋体"/>
          <w:sz w:val="24"/>
          <w:lang w:val="en-US" w:eastAsia="zh-CN"/>
        </w:rPr>
        <w:t>来，</w:t>
      </w:r>
      <w:r>
        <w:rPr>
          <w:rFonts w:hint="eastAsia" w:ascii="宋体" w:hAnsi="宋体" w:cs="宋体"/>
          <w:sz w:val="24"/>
        </w:rPr>
        <w:t>学院</w:t>
      </w:r>
      <w:r>
        <w:rPr>
          <w:rFonts w:hint="eastAsia" w:ascii="宋体" w:hAnsi="宋体" w:cs="宋体"/>
          <w:sz w:val="24"/>
          <w:lang w:val="en-US" w:eastAsia="zh-CN"/>
        </w:rPr>
        <w:t>共获得</w:t>
      </w:r>
      <w:r>
        <w:rPr>
          <w:rFonts w:hint="eastAsia" w:ascii="宋体" w:hAnsi="宋体" w:cs="宋体"/>
          <w:sz w:val="24"/>
        </w:rPr>
        <w:t>国家级项目42项，省部级项目60</w:t>
      </w:r>
      <w:r>
        <w:rPr>
          <w:rFonts w:hint="eastAsia" w:ascii="宋体" w:hAnsi="宋体" w:eastAsia="宋体" w:cs="宋体"/>
          <w:sz w:val="24"/>
        </w:rPr>
        <w:t>余项，横向合作项目55余项。在《经济研究》《管理世界》《世界经济》《金融研究》《Journal of Economic Dynamics and control》《Journal of Empirical Finance》等权威期刊发表论学术论文</w:t>
      </w:r>
      <w:r>
        <w:rPr>
          <w:rFonts w:hint="eastAsia" w:ascii="宋体" w:hAnsi="宋体" w:cs="宋体"/>
          <w:sz w:val="24"/>
        </w:rPr>
        <w:t>100余篇、其他核心期刊论文337篇，出版学术著作87部，获得广东省哲学社会科学成果8项，广东省自然科学奖1项，广东省金融学会成果奖5项。2011年以来共计聘请100多名商业银行、证券公司、基金公司等金融机构高管和行业专家担任金融硕士校外导师；与中国建设银行、广州乡村振兴控股集团、中信证券广州分公司等机构建立了20多个研究生实习基地。积极推进国际化培养，与世界百强名校西澳大学和挪威商学院等境外知名高校开展多形式的联合培养，取得了良好成效，已有十多名研究生获得我校和海外合作高校双学位硕士。</w:t>
      </w:r>
    </w:p>
    <w:p>
      <w:pPr>
        <w:adjustRightInd w:val="0"/>
        <w:snapToGrid w:val="0"/>
        <w:spacing w:line="360" w:lineRule="auto"/>
        <w:rPr>
          <w:rFonts w:hint="eastAsia" w:ascii="宋体" w:hAnsi="宋体" w:cs="宋体"/>
          <w:sz w:val="24"/>
        </w:rPr>
      </w:pPr>
      <w:r>
        <w:rPr>
          <w:rFonts w:hint="eastAsia" w:ascii="宋体" w:hAnsi="宋体" w:cs="宋体"/>
          <w:b/>
          <w:bCs/>
          <w:sz w:val="24"/>
        </w:rPr>
        <w:t>培养目标：</w:t>
      </w:r>
      <w:r>
        <w:rPr>
          <w:rFonts w:hint="eastAsia" w:ascii="宋体" w:hAnsi="宋体"/>
          <w:sz w:val="24"/>
        </w:rPr>
        <w:t>坚持立德树人，培养德、智、体、美全面发展，具有坚定正确的政治方向、人生观、价值观和世界观，遵纪守法、品德良好以及体魄健康，具备扎实的经济学理论知识，掌握现代经济学研究方法和分析工具，具有国际视野和较强的国际交流能力，能够对现实经济问题进行研究并提出解决方案，具有继续深造学习的基础和能力，立足粤港澳大湾区、面向全国经济社会发展需要，可从事教学科研以及在金融机构、工商企业和政府部门的经济分析与管理工作的高层次研究管理型人才。</w:t>
      </w:r>
    </w:p>
    <w:p>
      <w:pPr>
        <w:adjustRightInd w:val="0"/>
        <w:snapToGrid w:val="0"/>
        <w:spacing w:line="360" w:lineRule="auto"/>
        <w:rPr>
          <w:rFonts w:hint="eastAsia" w:ascii="宋体" w:hAnsi="宋体" w:cs="宋体"/>
          <w:sz w:val="24"/>
        </w:rPr>
      </w:pPr>
      <w:r>
        <w:rPr>
          <w:rFonts w:hint="eastAsia" w:ascii="宋体" w:hAnsi="宋体" w:cs="宋体"/>
          <w:sz w:val="24"/>
        </w:rPr>
        <w:t xml:space="preserve"> </w:t>
      </w:r>
    </w:p>
    <w:p>
      <w:pPr>
        <w:adjustRightInd w:val="0"/>
        <w:snapToGrid w:val="0"/>
        <w:spacing w:line="360" w:lineRule="auto"/>
        <w:rPr>
          <w:rFonts w:hint="eastAsia" w:ascii="宋体" w:hAnsi="宋体" w:cs="宋体"/>
          <w:sz w:val="24"/>
        </w:rPr>
      </w:pPr>
      <w:r>
        <w:rPr>
          <w:rFonts w:hint="eastAsia" w:ascii="宋体" w:hAnsi="宋体" w:cs="宋体"/>
          <w:b/>
          <w:bCs/>
          <w:sz w:val="24"/>
        </w:rPr>
        <w:t>主要课程：</w:t>
      </w:r>
      <w:r>
        <w:rPr>
          <w:rFonts w:hint="eastAsia" w:ascii="宋体" w:hAnsi="宋体" w:cs="宋体"/>
          <w:sz w:val="24"/>
        </w:rPr>
        <w:t xml:space="preserve">《中级宏微观经济学》、《公司金融理论》、《金融计量学》、《现代投资理论》、《国际金融研究》、《金融工程学》、《风险管理理论与方法》、《金融经济学》、《国家金融学》等。 </w:t>
      </w:r>
    </w:p>
    <w:p>
      <w:pPr>
        <w:adjustRightInd w:val="0"/>
        <w:snapToGrid w:val="0"/>
        <w:spacing w:line="360" w:lineRule="auto"/>
        <w:rPr>
          <w:rFonts w:hint="eastAsia" w:ascii="宋体" w:hAnsi="宋体" w:cs="宋体"/>
          <w:sz w:val="24"/>
        </w:rPr>
      </w:pPr>
      <w:r>
        <w:rPr>
          <w:rFonts w:hint="eastAsia" w:ascii="宋体" w:hAnsi="宋体" w:cs="宋体"/>
          <w:b/>
          <w:bCs/>
          <w:sz w:val="24"/>
        </w:rPr>
        <w:t>就业方向：</w:t>
      </w:r>
      <w:r>
        <w:rPr>
          <w:rFonts w:hint="eastAsia" w:ascii="宋体" w:hAnsi="宋体" w:cs="宋体"/>
          <w:sz w:val="24"/>
        </w:rPr>
        <w:t>银行、证券、保险、基金等金融机构及其他行政企事业单位、教学及科研单位；还可进一步报考相关学科门类的博士研究生，继续求学深造。学校将择优资助符合条件且雅思单科6.0分，总分6.5分以上的研究生赴国外进行双硕士学位项目联合培养。</w:t>
      </w:r>
    </w:p>
    <w:p>
      <w:pPr>
        <w:adjustRightInd w:val="0"/>
        <w:snapToGrid w:val="0"/>
        <w:rPr>
          <w:rFonts w:hint="eastAsia" w:ascii="宋体" w:hAnsi="宋体" w:cs="宋体"/>
          <w:b/>
          <w:sz w:val="24"/>
        </w:rPr>
      </w:pPr>
      <w:r>
        <w:rPr>
          <w:rFonts w:hint="eastAsia" w:ascii="宋体" w:hAnsi="宋体" w:cs="宋体"/>
          <w:sz w:val="24"/>
        </w:rPr>
        <w:t xml:space="preserve"> </w:t>
      </w:r>
    </w:p>
    <w:p>
      <w:pPr>
        <w:adjustRightInd w:val="0"/>
        <w:snapToGrid w:val="0"/>
        <w:rPr>
          <w:rFonts w:hint="default" w:ascii="宋体" w:hAnsi="宋体" w:eastAsia="宋体" w:cs="宋体"/>
          <w:b/>
          <w:sz w:val="24"/>
          <w:lang w:val="en-US" w:eastAsia="zh-CN"/>
        </w:rPr>
      </w:pPr>
      <w:r>
        <w:rPr>
          <w:rFonts w:hint="eastAsia" w:ascii="宋体" w:hAnsi="宋体" w:cs="宋体"/>
          <w:b/>
          <w:sz w:val="24"/>
        </w:rPr>
        <w:t>专业代码：020204；                           咨询电话：020-8409</w:t>
      </w:r>
      <w:r>
        <w:rPr>
          <w:rFonts w:hint="eastAsia" w:ascii="宋体" w:hAnsi="宋体" w:cs="宋体"/>
          <w:b/>
          <w:sz w:val="24"/>
          <w:lang w:val="en-US" w:eastAsia="zh-CN"/>
        </w:rPr>
        <w:t>6012</w:t>
      </w:r>
    </w:p>
    <w:tbl>
      <w:tblPr>
        <w:tblStyle w:val="8"/>
        <w:tblW w:w="48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2428"/>
        <w:gridCol w:w="3437"/>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524" w:type="pct"/>
            <w:noWrap w:val="0"/>
            <w:vAlign w:val="center"/>
          </w:tcPr>
          <w:p>
            <w:pPr>
              <w:adjustRightInd w:val="0"/>
              <w:snapToGrid w:val="0"/>
              <w:jc w:val="center"/>
              <w:rPr>
                <w:rFonts w:hint="eastAsia" w:ascii="宋体" w:hAnsi="宋体" w:cs="宋体"/>
                <w:b/>
                <w:sz w:val="24"/>
              </w:rPr>
            </w:pPr>
            <w:r>
              <w:rPr>
                <w:rFonts w:hint="eastAsia" w:ascii="宋体" w:hAnsi="宋体" w:cs="宋体"/>
                <w:b/>
                <w:sz w:val="24"/>
              </w:rPr>
              <w:t>序号</w:t>
            </w:r>
          </w:p>
        </w:tc>
        <w:tc>
          <w:tcPr>
            <w:tcW w:w="1448" w:type="pct"/>
            <w:noWrap w:val="0"/>
            <w:vAlign w:val="center"/>
          </w:tcPr>
          <w:p>
            <w:pPr>
              <w:adjustRightInd w:val="0"/>
              <w:snapToGrid w:val="0"/>
              <w:jc w:val="center"/>
              <w:rPr>
                <w:rFonts w:hint="eastAsia" w:ascii="宋体" w:hAnsi="宋体" w:cs="宋体"/>
                <w:b/>
                <w:sz w:val="24"/>
              </w:rPr>
            </w:pPr>
            <w:r>
              <w:rPr>
                <w:rFonts w:hint="eastAsia" w:ascii="宋体" w:hAnsi="宋体" w:cs="宋体"/>
                <w:b/>
                <w:sz w:val="24"/>
              </w:rPr>
              <w:t>研究方向</w:t>
            </w:r>
          </w:p>
        </w:tc>
        <w:tc>
          <w:tcPr>
            <w:tcW w:w="2050" w:type="pct"/>
            <w:noWrap w:val="0"/>
            <w:vAlign w:val="center"/>
          </w:tcPr>
          <w:p>
            <w:pPr>
              <w:adjustRightInd w:val="0"/>
              <w:snapToGrid w:val="0"/>
              <w:jc w:val="center"/>
              <w:rPr>
                <w:rFonts w:hint="eastAsia" w:ascii="宋体" w:hAnsi="宋体" w:cs="宋体"/>
                <w:b/>
                <w:sz w:val="24"/>
              </w:rPr>
            </w:pPr>
            <w:r>
              <w:rPr>
                <w:rFonts w:hint="eastAsia" w:ascii="宋体" w:hAnsi="宋体" w:cs="宋体"/>
                <w:b/>
                <w:sz w:val="24"/>
              </w:rPr>
              <w:t>考试科目</w:t>
            </w:r>
          </w:p>
        </w:tc>
        <w:tc>
          <w:tcPr>
            <w:tcW w:w="977" w:type="pct"/>
            <w:noWrap w:val="0"/>
            <w:vAlign w:val="center"/>
          </w:tcPr>
          <w:p>
            <w:pPr>
              <w:adjustRightInd w:val="0"/>
              <w:snapToGrid w:val="0"/>
              <w:jc w:val="center"/>
              <w:rPr>
                <w:rFonts w:hint="eastAsia" w:ascii="宋体" w:hAnsi="宋体" w:cs="宋体"/>
                <w:b/>
                <w:sz w:val="24"/>
              </w:rPr>
            </w:pPr>
            <w:r>
              <w:rPr>
                <w:rFonts w:hint="eastAsia" w:ascii="宋体" w:hAnsi="宋体" w:cs="宋体"/>
                <w:b/>
                <w:sz w:val="24"/>
              </w:rPr>
              <w:t>复试科目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524" w:type="pct"/>
            <w:noWrap w:val="0"/>
            <w:vAlign w:val="center"/>
          </w:tcPr>
          <w:p>
            <w:pPr>
              <w:adjustRightInd w:val="0"/>
              <w:snapToGrid w:val="0"/>
              <w:jc w:val="center"/>
              <w:rPr>
                <w:rFonts w:hint="eastAsia" w:ascii="宋体" w:hAnsi="宋体" w:cs="宋体"/>
                <w:sz w:val="24"/>
              </w:rPr>
            </w:pPr>
            <w:r>
              <w:rPr>
                <w:rFonts w:hint="eastAsia" w:ascii="宋体" w:hAnsi="宋体" w:cs="宋体"/>
                <w:sz w:val="24"/>
              </w:rPr>
              <w:t>1</w:t>
            </w:r>
          </w:p>
        </w:tc>
        <w:tc>
          <w:tcPr>
            <w:tcW w:w="1448" w:type="pct"/>
            <w:noWrap w:val="0"/>
            <w:vAlign w:val="center"/>
          </w:tcPr>
          <w:p>
            <w:pPr>
              <w:adjustRightInd w:val="0"/>
              <w:snapToGrid w:val="0"/>
              <w:rPr>
                <w:rFonts w:hint="eastAsia" w:ascii="宋体" w:hAnsi="宋体" w:cs="宋体"/>
                <w:sz w:val="24"/>
              </w:rPr>
            </w:pPr>
            <w:r>
              <w:rPr>
                <w:rFonts w:hint="eastAsia" w:ascii="宋体" w:hAnsi="宋体" w:cs="宋体"/>
                <w:sz w:val="24"/>
              </w:rPr>
              <w:t>金融理论与政策</w:t>
            </w:r>
          </w:p>
        </w:tc>
        <w:tc>
          <w:tcPr>
            <w:tcW w:w="2050" w:type="pct"/>
            <w:vMerge w:val="restart"/>
            <w:noWrap w:val="0"/>
            <w:vAlign w:val="center"/>
          </w:tcPr>
          <w:p>
            <w:pPr>
              <w:adjustRightInd w:val="0"/>
              <w:snapToGrid w:val="0"/>
              <w:rPr>
                <w:rFonts w:hint="eastAsia" w:ascii="宋体" w:hAnsi="宋体" w:cs="宋体"/>
                <w:sz w:val="24"/>
              </w:rPr>
            </w:pPr>
            <w:r>
              <w:rPr>
                <w:rFonts w:hint="eastAsia" w:ascii="宋体" w:hAnsi="宋体" w:cs="宋体"/>
                <w:sz w:val="24"/>
              </w:rPr>
              <w:t>（1）▲思想政治理论（100分）</w:t>
            </w:r>
          </w:p>
          <w:p>
            <w:pPr>
              <w:adjustRightInd w:val="0"/>
              <w:snapToGrid w:val="0"/>
              <w:rPr>
                <w:rFonts w:ascii="宋体" w:hAnsi="宋体" w:cs="宋体"/>
                <w:sz w:val="24"/>
              </w:rPr>
            </w:pPr>
            <w:r>
              <w:rPr>
                <w:rFonts w:hint="eastAsia" w:ascii="宋体" w:hAnsi="宋体" w:cs="宋体"/>
                <w:sz w:val="24"/>
              </w:rPr>
              <w:t>（2）▲英语一（100分）</w:t>
            </w:r>
          </w:p>
          <w:p>
            <w:pPr>
              <w:adjustRightInd w:val="0"/>
              <w:snapToGrid w:val="0"/>
              <w:rPr>
                <w:rFonts w:hint="eastAsia" w:ascii="宋体" w:hAnsi="宋体" w:cs="宋体"/>
                <w:sz w:val="24"/>
              </w:rPr>
            </w:pPr>
            <w:r>
              <w:rPr>
                <w:rFonts w:hint="eastAsia" w:ascii="宋体" w:hAnsi="宋体" w:cs="宋体"/>
                <w:sz w:val="24"/>
              </w:rPr>
              <w:t>（3）▲数学三（150分）</w:t>
            </w:r>
          </w:p>
          <w:p>
            <w:pPr>
              <w:adjustRightInd w:val="0"/>
              <w:snapToGrid w:val="0"/>
              <w:rPr>
                <w:rFonts w:hint="eastAsia" w:ascii="宋体" w:hAnsi="宋体" w:cs="宋体"/>
                <w:sz w:val="24"/>
              </w:rPr>
            </w:pPr>
            <w:r>
              <w:rPr>
                <w:rFonts w:hint="eastAsia" w:ascii="宋体" w:hAnsi="宋体" w:cs="宋体"/>
                <w:sz w:val="24"/>
              </w:rPr>
              <w:t>（4）经济学基础（150分）</w:t>
            </w:r>
          </w:p>
        </w:tc>
        <w:tc>
          <w:tcPr>
            <w:tcW w:w="977" w:type="pct"/>
            <w:vMerge w:val="restart"/>
            <w:noWrap w:val="0"/>
            <w:vAlign w:val="center"/>
          </w:tcPr>
          <w:p>
            <w:pPr>
              <w:adjustRightInd w:val="0"/>
              <w:snapToGrid w:val="0"/>
              <w:jc w:val="center"/>
              <w:rPr>
                <w:rFonts w:hint="eastAsia" w:ascii="宋体" w:hAnsi="宋体" w:cs="宋体"/>
                <w:sz w:val="24"/>
              </w:rPr>
            </w:pPr>
            <w:r>
              <w:rPr>
                <w:rFonts w:hint="eastAsia" w:ascii="宋体" w:hAnsi="宋体" w:cs="宋体"/>
                <w:sz w:val="24"/>
              </w:rPr>
              <w:t>F504-金融学基础(100分)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524" w:type="pct"/>
            <w:noWrap w:val="0"/>
            <w:vAlign w:val="center"/>
          </w:tcPr>
          <w:p>
            <w:pPr>
              <w:adjustRightInd w:val="0"/>
              <w:snapToGrid w:val="0"/>
              <w:jc w:val="center"/>
              <w:rPr>
                <w:rFonts w:hint="eastAsia" w:ascii="宋体" w:hAnsi="宋体" w:cs="宋体"/>
                <w:sz w:val="24"/>
              </w:rPr>
            </w:pPr>
            <w:r>
              <w:rPr>
                <w:rFonts w:hint="eastAsia" w:ascii="宋体" w:hAnsi="宋体" w:cs="宋体"/>
                <w:sz w:val="24"/>
              </w:rPr>
              <w:t>2</w:t>
            </w:r>
          </w:p>
        </w:tc>
        <w:tc>
          <w:tcPr>
            <w:tcW w:w="1448" w:type="pct"/>
            <w:noWrap w:val="0"/>
            <w:vAlign w:val="center"/>
          </w:tcPr>
          <w:p>
            <w:pPr>
              <w:adjustRightInd w:val="0"/>
              <w:snapToGrid w:val="0"/>
              <w:rPr>
                <w:rFonts w:hint="eastAsia" w:ascii="宋体" w:hAnsi="宋体" w:cs="宋体"/>
                <w:sz w:val="24"/>
              </w:rPr>
            </w:pPr>
            <w:r>
              <w:rPr>
                <w:rFonts w:hint="eastAsia" w:ascii="宋体" w:hAnsi="宋体" w:cs="宋体"/>
                <w:sz w:val="24"/>
              </w:rPr>
              <w:t>金融工程与资本市场</w:t>
            </w:r>
          </w:p>
        </w:tc>
        <w:tc>
          <w:tcPr>
            <w:tcW w:w="2050" w:type="pct"/>
            <w:vMerge w:val="continue"/>
            <w:noWrap w:val="0"/>
            <w:vAlign w:val="center"/>
          </w:tcPr>
          <w:p>
            <w:pPr>
              <w:adjustRightInd w:val="0"/>
              <w:snapToGrid w:val="0"/>
              <w:rPr>
                <w:rFonts w:hint="eastAsia" w:ascii="宋体" w:hAnsi="宋体" w:cs="宋体"/>
                <w:sz w:val="24"/>
              </w:rPr>
            </w:pPr>
          </w:p>
        </w:tc>
        <w:tc>
          <w:tcPr>
            <w:tcW w:w="977" w:type="pct"/>
            <w:vMerge w:val="continue"/>
            <w:noWrap w:val="0"/>
            <w:vAlign w:val="center"/>
          </w:tcPr>
          <w:p>
            <w:pPr>
              <w:adjustRightInd w:val="0"/>
              <w:snapToGrid w:val="0"/>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jc w:val="center"/>
        </w:trPr>
        <w:tc>
          <w:tcPr>
            <w:tcW w:w="524" w:type="pct"/>
            <w:noWrap w:val="0"/>
            <w:vAlign w:val="center"/>
          </w:tcPr>
          <w:p>
            <w:pPr>
              <w:adjustRightInd w:val="0"/>
              <w:snapToGrid w:val="0"/>
              <w:jc w:val="center"/>
              <w:rPr>
                <w:rFonts w:hint="eastAsia" w:ascii="宋体" w:hAnsi="宋体" w:cs="宋体"/>
                <w:sz w:val="24"/>
              </w:rPr>
            </w:pPr>
            <w:r>
              <w:rPr>
                <w:rFonts w:hint="eastAsia" w:ascii="宋体" w:hAnsi="宋体" w:cs="宋体"/>
                <w:sz w:val="24"/>
              </w:rPr>
              <w:t>3</w:t>
            </w:r>
          </w:p>
        </w:tc>
        <w:tc>
          <w:tcPr>
            <w:tcW w:w="1448" w:type="pct"/>
            <w:noWrap w:val="0"/>
            <w:vAlign w:val="center"/>
          </w:tcPr>
          <w:p>
            <w:pPr>
              <w:adjustRightInd w:val="0"/>
              <w:snapToGrid w:val="0"/>
              <w:rPr>
                <w:rFonts w:ascii="宋体" w:hAnsi="宋体" w:cs="宋体"/>
                <w:sz w:val="24"/>
              </w:rPr>
            </w:pPr>
            <w:r>
              <w:rPr>
                <w:rFonts w:hint="eastAsia" w:ascii="宋体" w:hAnsi="宋体" w:cs="宋体"/>
                <w:sz w:val="24"/>
              </w:rPr>
              <w:t>数字金融</w:t>
            </w:r>
          </w:p>
        </w:tc>
        <w:tc>
          <w:tcPr>
            <w:tcW w:w="2050" w:type="pct"/>
            <w:vMerge w:val="continue"/>
            <w:noWrap w:val="0"/>
            <w:vAlign w:val="center"/>
          </w:tcPr>
          <w:p>
            <w:pPr>
              <w:adjustRightInd w:val="0"/>
              <w:snapToGrid w:val="0"/>
              <w:rPr>
                <w:rFonts w:hint="eastAsia" w:ascii="宋体" w:hAnsi="宋体" w:cs="宋体"/>
                <w:sz w:val="24"/>
              </w:rPr>
            </w:pPr>
          </w:p>
        </w:tc>
        <w:tc>
          <w:tcPr>
            <w:tcW w:w="977" w:type="pct"/>
            <w:vMerge w:val="continue"/>
            <w:noWrap w:val="0"/>
            <w:vAlign w:val="center"/>
          </w:tcPr>
          <w:p>
            <w:pPr>
              <w:adjustRightInd w:val="0"/>
              <w:snapToGrid w:val="0"/>
              <w:rPr>
                <w:rFonts w:hint="eastAsia" w:ascii="宋体" w:hAnsi="宋体" w:cs="宋体"/>
                <w:sz w:val="24"/>
              </w:rPr>
            </w:pPr>
          </w:p>
        </w:tc>
      </w:tr>
    </w:tbl>
    <w:p>
      <w:pPr>
        <w:adjustRightInd w:val="0"/>
        <w:snapToGrid w:val="0"/>
        <w:rPr>
          <w:rFonts w:hint="eastAsia" w:ascii="宋体" w:hAnsi="宋体" w:cs="宋体"/>
          <w:b/>
          <w:bCs/>
          <w:sz w:val="24"/>
        </w:rPr>
      </w:pPr>
      <w:r>
        <w:rPr>
          <w:rFonts w:hint="eastAsia" w:ascii="宋体" w:hAnsi="宋体" w:cs="宋体"/>
          <w:b/>
          <w:bCs/>
        </w:rPr>
        <w:t>▲</w:t>
      </w:r>
      <w:r>
        <w:rPr>
          <w:rFonts w:hint="eastAsia" w:ascii="宋体" w:hAnsi="宋体" w:cs="宋体"/>
          <w:b/>
          <w:bCs/>
          <w:sz w:val="24"/>
        </w:rPr>
        <w:t>表示统考科目或联考科目，考试题型、考试大纲以教育部公布为准。其他为自命题科目。</w:t>
      </w:r>
    </w:p>
    <w:p>
      <w:pPr>
        <w:adjustRightInd w:val="0"/>
        <w:snapToGrid w:val="0"/>
        <w:rPr>
          <w:rFonts w:hint="eastAsia" w:ascii="宋体" w:hAnsi="宋体" w:cs="宋体"/>
          <w:b/>
          <w:sz w:val="24"/>
        </w:rPr>
      </w:pPr>
      <w:r>
        <w:rPr>
          <w:rFonts w:hint="eastAsia" w:ascii="宋体" w:hAnsi="宋体" w:cs="宋体"/>
          <w:b/>
          <w:sz w:val="24"/>
        </w:rPr>
        <w:t>考试题型 ：</w:t>
      </w:r>
    </w:p>
    <w:p>
      <w:pPr>
        <w:adjustRightInd w:val="0"/>
        <w:snapToGrid w:val="0"/>
        <w:jc w:val="left"/>
        <w:rPr>
          <w:rFonts w:hint="eastAsia" w:ascii="宋体" w:hAnsi="宋体" w:cs="宋体"/>
          <w:b/>
          <w:sz w:val="24"/>
        </w:rPr>
      </w:pPr>
      <w:r>
        <w:rPr>
          <w:rFonts w:hint="eastAsia" w:ascii="宋体" w:hAnsi="宋体" w:cs="宋体"/>
          <w:b/>
          <w:sz w:val="24"/>
          <w:lang w:bidi="ar"/>
        </w:rPr>
        <w:t>《经济学基础》</w:t>
      </w:r>
      <w:r>
        <w:rPr>
          <w:rFonts w:hint="eastAsia" w:ascii="宋体" w:hAnsi="宋体" w:cs="宋体"/>
          <w:b/>
          <w:kern w:val="0"/>
          <w:sz w:val="24"/>
        </w:rPr>
        <w:t xml:space="preserve">考试题型： </w:t>
      </w:r>
    </w:p>
    <w:p>
      <w:p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lang w:bidi="ar"/>
        </w:rPr>
        <w:t>（1）名词解释（6题，每题5分，共30分）</w:t>
      </w:r>
    </w:p>
    <w:p>
      <w:p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lang w:bidi="ar"/>
        </w:rPr>
        <w:t>（2）简答题（6题，每题10分，共60分）</w:t>
      </w:r>
    </w:p>
    <w:p>
      <w:p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lang w:bidi="ar"/>
        </w:rPr>
        <w:t>（3）论述题（2题，每题30分，共60分）</w:t>
      </w:r>
    </w:p>
    <w:p>
      <w:pPr>
        <w:shd w:val="solid" w:color="FFFFFF" w:fill="auto"/>
        <w:autoSpaceDN w:val="0"/>
        <w:adjustRightInd w:val="0"/>
        <w:snapToGrid w:val="0"/>
        <w:rPr>
          <w:rFonts w:hint="eastAsia" w:ascii="宋体" w:hAnsi="宋体" w:cs="宋体"/>
          <w:sz w:val="24"/>
          <w:szCs w:val="24"/>
          <w:shd w:val="clear" w:color="auto" w:fill="FFFFFF"/>
        </w:rPr>
      </w:pPr>
      <w:r>
        <w:rPr>
          <w:rFonts w:hint="eastAsia" w:ascii="宋体" w:hAnsi="宋体" w:cs="宋体"/>
          <w:sz w:val="24"/>
          <w:shd w:val="clear" w:color="auto" w:fill="FFFFFF"/>
          <w:lang w:bidi="ar"/>
        </w:rPr>
        <w:t>参考书目：</w:t>
      </w:r>
      <w:r>
        <w:rPr>
          <w:rFonts w:hint="eastAsia" w:ascii="宋体" w:hAnsi="宋体" w:cs="宋体"/>
          <w:sz w:val="24"/>
          <w:szCs w:val="24"/>
          <w:shd w:val="clear" w:color="auto" w:fill="FFFFFF"/>
        </w:rPr>
        <w:t>高鸿业：《西方经济学(宏/微观)》第7版 ，中国人民大学出版社2018年</w:t>
      </w:r>
    </w:p>
    <w:p>
      <w:pPr>
        <w:shd w:val="solid" w:color="FFFFFF" w:fill="auto"/>
        <w:autoSpaceDN w:val="0"/>
        <w:adjustRightInd w:val="0"/>
        <w:snapToGrid w:val="0"/>
        <w:rPr>
          <w:rFonts w:ascii="宋体" w:hAnsi="宋体" w:cs="宋体"/>
          <w:b/>
          <w:kern w:val="0"/>
          <w:sz w:val="24"/>
        </w:rPr>
      </w:pPr>
      <w:r>
        <w:rPr>
          <w:rFonts w:hint="eastAsia" w:ascii="宋体" w:hAnsi="宋体" w:cs="宋体"/>
          <w:b/>
          <w:kern w:val="0"/>
          <w:sz w:val="24"/>
        </w:rPr>
        <w:t xml:space="preserve">《金融学基础》考试题型： </w:t>
      </w:r>
    </w:p>
    <w:p>
      <w:p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（1）名词解释（6题，每题5分，共30分）</w:t>
      </w:r>
    </w:p>
    <w:p>
      <w:p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（2）简答题  （4题，每题10分，共40分）</w:t>
      </w:r>
    </w:p>
    <w:p>
      <w:p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（3）论述题  （1题，每题30分，共30分）</w:t>
      </w:r>
    </w:p>
    <w:p>
      <w:pPr>
        <w:shd w:val="solid" w:color="FFFFFF" w:fill="auto"/>
        <w:autoSpaceDN w:val="0"/>
        <w:adjustRightInd w:val="0"/>
        <w:snapToGrid w:val="0"/>
        <w:rPr>
          <w:rFonts w:ascii="宋体" w:hAnsi="宋体" w:cs="宋体"/>
          <w:sz w:val="24"/>
          <w:shd w:val="clear" w:color="auto" w:fill="FFFFFF"/>
          <w:lang w:bidi="ar"/>
        </w:rPr>
      </w:pPr>
      <w:r>
        <w:rPr>
          <w:rFonts w:hint="eastAsia" w:ascii="宋体" w:hAnsi="宋体" w:cs="宋体"/>
          <w:sz w:val="24"/>
          <w:shd w:val="clear" w:color="auto" w:fill="FFFFFF"/>
          <w:lang w:bidi="ar"/>
        </w:rPr>
        <w:t>参考书目：</w:t>
      </w:r>
    </w:p>
    <w:p>
      <w:pPr>
        <w:shd w:val="solid" w:color="FFFFFF" w:fill="auto"/>
        <w:autoSpaceDN w:val="0"/>
        <w:adjustRightInd w:val="0"/>
        <w:snapToGrid w:val="0"/>
        <w:rPr>
          <w:rFonts w:hint="eastAsia" w:ascii="宋体" w:hAnsi="宋体" w:cs="宋体"/>
          <w:sz w:val="24"/>
          <w:shd w:val="clear" w:color="auto" w:fill="FFFFFF"/>
          <w:lang w:bidi="ar"/>
        </w:rPr>
      </w:pPr>
      <w:r>
        <w:rPr>
          <w:rFonts w:hint="eastAsia" w:ascii="宋体" w:hAnsi="宋体" w:cs="宋体"/>
          <w:sz w:val="24"/>
          <w:highlight w:val="none"/>
          <w:shd w:val="clear" w:color="auto" w:fill="FFFFFF"/>
          <w:lang w:bidi="ar"/>
        </w:rPr>
        <w:t>初试参考书目：</w:t>
      </w:r>
      <w:r>
        <w:rPr>
          <w:rFonts w:hint="eastAsia" w:ascii="宋体" w:hAnsi="宋体" w:cs="宋体"/>
          <w:sz w:val="24"/>
          <w:szCs w:val="24"/>
          <w:shd w:val="clear" w:color="auto" w:fill="FFFFFF"/>
        </w:rPr>
        <w:t>高鸿业：《西方经济学(宏/微观)》第7版 ，中国人民大学出版社2018年</w:t>
      </w:r>
    </w:p>
    <w:p>
      <w:pPr>
        <w:adjustRightInd w:val="0"/>
        <w:snapToGrid w:val="0"/>
        <w:rPr>
          <w:rFonts w:hint="eastAsia" w:ascii="宋体" w:hAnsi="宋体" w:cs="宋体"/>
          <w:sz w:val="24"/>
        </w:rPr>
      </w:pPr>
      <w:r>
        <w:rPr>
          <w:rFonts w:hint="eastAsia" w:ascii="宋体" w:hAnsi="宋体" w:cs="宋体"/>
          <w:sz w:val="24"/>
          <w:shd w:val="clear" w:color="auto" w:fill="FFFFFF"/>
          <w:lang w:bidi="ar"/>
        </w:rPr>
        <w:t>复试参考书目：</w:t>
      </w:r>
      <w:r>
        <w:rPr>
          <w:rFonts w:cs="宋体"/>
          <w:sz w:val="24"/>
          <w:shd w:val="clear" w:color="auto" w:fill="FFFFFF"/>
        </w:rPr>
        <w:t>金融学原理（第</w:t>
      </w:r>
      <w:r>
        <w:rPr>
          <w:rFonts w:hint="eastAsia" w:cs="宋体"/>
          <w:sz w:val="24"/>
          <w:shd w:val="clear" w:color="auto" w:fill="FFFFFF"/>
        </w:rPr>
        <w:t>六</w:t>
      </w:r>
      <w:r>
        <w:rPr>
          <w:rFonts w:cs="宋体"/>
          <w:sz w:val="24"/>
          <w:shd w:val="clear" w:color="auto" w:fill="FFFFFF"/>
        </w:rPr>
        <w:t>版）</w:t>
      </w:r>
      <w:r>
        <w:rPr>
          <w:rFonts w:cs="宋体"/>
          <w:kern w:val="0"/>
          <w:sz w:val="24"/>
          <w:shd w:val="clear" w:color="auto" w:fill="FFFFFF"/>
          <w:lang w:bidi="ar"/>
        </w:rPr>
        <w:t>作者:</w:t>
      </w:r>
      <w:r>
        <w:fldChar w:fldCharType="begin"/>
      </w:r>
      <w:r>
        <w:instrText xml:space="preserve"> HYPERLINK "http://search.dangdang.com/?key2=%C5%ED%D0%CB%D4%CF&amp;medium=01&amp;category_path=01.00.00.00.00.00" \t "http://product.dangdang.com/_blank" </w:instrText>
      </w:r>
      <w:r>
        <w:fldChar w:fldCharType="separate"/>
      </w:r>
      <w:r>
        <w:rPr>
          <w:rStyle w:val="11"/>
          <w:rFonts w:cs="宋体"/>
          <w:color w:val="auto"/>
          <w:sz w:val="24"/>
          <w:u w:val="none"/>
          <w:shd w:val="clear" w:color="auto" w:fill="FFFFFF"/>
        </w:rPr>
        <w:t>彭兴韵</w:t>
      </w:r>
      <w:r>
        <w:rPr>
          <w:rStyle w:val="11"/>
          <w:rFonts w:cs="宋体"/>
          <w:color w:val="auto"/>
          <w:sz w:val="24"/>
          <w:u w:val="none"/>
          <w:shd w:val="clear" w:color="auto" w:fill="FFFFFF"/>
        </w:rPr>
        <w:fldChar w:fldCharType="end"/>
      </w:r>
      <w:r>
        <w:rPr>
          <w:rFonts w:cs="宋体"/>
          <w:kern w:val="0"/>
          <w:sz w:val="24"/>
          <w:shd w:val="clear" w:color="auto" w:fill="FFFFFF"/>
          <w:lang w:bidi="ar"/>
        </w:rPr>
        <w:t>，</w:t>
      </w:r>
      <w:r>
        <w:fldChar w:fldCharType="begin"/>
      </w:r>
      <w:r>
        <w:instrText xml:space="preserve"> HYPERLINK "http://search.dangdang.com/?key3=%B8%F1%D6%C2%B3%F6%B0%E6%C9%E7&amp;medium=01&amp;category_path=01.00.00.00.00.00" \t "http://product.dangdang.com/_blank" </w:instrText>
      </w:r>
      <w:r>
        <w:fldChar w:fldCharType="separate"/>
      </w:r>
      <w:r>
        <w:rPr>
          <w:rStyle w:val="11"/>
          <w:rFonts w:cs="宋体"/>
          <w:color w:val="auto"/>
          <w:sz w:val="24"/>
          <w:u w:val="none"/>
          <w:shd w:val="clear" w:color="auto" w:fill="FFFFFF"/>
        </w:rPr>
        <w:t>格致出版社</w:t>
      </w:r>
      <w:r>
        <w:rPr>
          <w:rStyle w:val="11"/>
          <w:rFonts w:cs="宋体"/>
          <w:color w:val="auto"/>
          <w:sz w:val="24"/>
          <w:u w:val="none"/>
          <w:shd w:val="clear" w:color="auto" w:fill="FFFFFF"/>
        </w:rPr>
        <w:fldChar w:fldCharType="end"/>
      </w:r>
      <w:r>
        <w:rPr>
          <w:rFonts w:cs="宋体"/>
          <w:kern w:val="0"/>
          <w:sz w:val="24"/>
          <w:shd w:val="clear" w:color="auto" w:fill="FFFFFF"/>
          <w:lang w:bidi="ar"/>
        </w:rPr>
        <w:t>出版，</w:t>
      </w:r>
      <w:r>
        <w:rPr>
          <w:rFonts w:hint="eastAsia" w:ascii="宋体" w:hAnsi="宋体" w:cs="宋体"/>
          <w:sz w:val="24"/>
          <w:shd w:val="clear" w:color="auto" w:fill="FFFFFF"/>
        </w:rPr>
        <w:t>出版</w:t>
      </w:r>
      <w:r>
        <w:rPr>
          <w:rFonts w:cs="宋体"/>
          <w:kern w:val="0"/>
          <w:sz w:val="24"/>
          <w:shd w:val="clear" w:color="auto" w:fill="FFFFFF"/>
          <w:lang w:bidi="ar"/>
        </w:rPr>
        <w:t>时间:201</w:t>
      </w:r>
      <w:r>
        <w:rPr>
          <w:rFonts w:hint="eastAsia" w:cs="宋体"/>
          <w:kern w:val="0"/>
          <w:sz w:val="24"/>
          <w:shd w:val="clear" w:color="auto" w:fill="FFFFFF"/>
          <w:lang w:bidi="ar"/>
        </w:rPr>
        <w:t>9</w:t>
      </w:r>
      <w:r>
        <w:rPr>
          <w:rFonts w:cs="宋体"/>
          <w:kern w:val="0"/>
          <w:sz w:val="24"/>
          <w:shd w:val="clear" w:color="auto" w:fill="FFFFFF"/>
          <w:lang w:bidi="ar"/>
        </w:rPr>
        <w:t>年7月</w:t>
      </w:r>
      <w:r>
        <w:rPr>
          <w:rFonts w:hint="eastAsia" w:cs="宋体"/>
          <w:kern w:val="0"/>
          <w:sz w:val="24"/>
          <w:shd w:val="clear" w:color="auto" w:fill="FFFFFF"/>
          <w:lang w:bidi="ar"/>
        </w:rPr>
        <w:t>。</w:t>
      </w:r>
    </w:p>
    <w:p>
      <w:pPr>
        <w:adjustRightInd w:val="0"/>
        <w:snapToGrid w:val="0"/>
        <w:rPr>
          <w:rFonts w:hint="eastAsia" w:ascii="宋体" w:hAnsi="宋体" w:cs="宋体"/>
          <w:b/>
          <w:sz w:val="24"/>
        </w:rPr>
      </w:pPr>
    </w:p>
    <w:p>
      <w:pPr>
        <w:adjustRightInd w:val="0"/>
        <w:snapToGrid w:val="0"/>
        <w:rPr>
          <w:rFonts w:hint="eastAsia" w:ascii="宋体" w:hAnsi="宋体" w:cs="宋体"/>
          <w:b/>
          <w:sz w:val="24"/>
        </w:rPr>
      </w:pPr>
      <w:r>
        <w:rPr>
          <w:rFonts w:hint="eastAsia" w:ascii="宋体" w:hAnsi="宋体" w:cs="宋体"/>
          <w:b/>
          <w:sz w:val="24"/>
        </w:rPr>
        <w:t>考试大纲</w:t>
      </w:r>
    </w:p>
    <w:p>
      <w:pPr>
        <w:widowControl/>
        <w:adjustRightInd w:val="0"/>
        <w:snapToGrid w:val="0"/>
        <w:jc w:val="center"/>
        <w:rPr>
          <w:rFonts w:hint="eastAsia" w:ascii="宋体" w:hAnsi="宋体" w:cs="宋体"/>
          <w:bCs/>
          <w:kern w:val="0"/>
          <w:sz w:val="36"/>
          <w:szCs w:val="36"/>
        </w:rPr>
      </w:pPr>
      <w:r>
        <w:rPr>
          <w:rFonts w:hint="eastAsia" w:ascii="黑体" w:hAnsi="黑体" w:eastAsia="黑体" w:cs="黑体"/>
          <w:bCs/>
          <w:kern w:val="0"/>
          <w:sz w:val="36"/>
          <w:szCs w:val="36"/>
        </w:rPr>
        <w:t>《经济学基础》</w:t>
      </w:r>
    </w:p>
    <w:p>
      <w:pPr>
        <w:adjustRightInd w:val="0"/>
        <w:snapToGrid w:val="0"/>
        <w:rPr>
          <w:rFonts w:hint="eastAsia" w:ascii="宋体" w:hAnsi="宋体" w:cs="宋体"/>
          <w:b/>
          <w:sz w:val="24"/>
        </w:rPr>
      </w:pPr>
    </w:p>
    <w:p>
      <w:pPr>
        <w:adjustRightInd w:val="0"/>
        <w:snapToGrid w:val="0"/>
        <w:rPr>
          <w:rFonts w:hint="eastAsia" w:ascii="宋体" w:hAnsi="宋体" w:cs="宋体"/>
          <w:b/>
          <w:kern w:val="0"/>
          <w:sz w:val="24"/>
        </w:rPr>
      </w:pPr>
      <w:r>
        <w:rPr>
          <w:rFonts w:hint="eastAsia" w:ascii="宋体" w:hAnsi="宋体" w:cs="宋体"/>
          <w:b/>
          <w:kern w:val="0"/>
          <w:sz w:val="24"/>
        </w:rPr>
        <w:t>《经济学基础》考试大纲概述：</w:t>
      </w:r>
    </w:p>
    <w:p>
      <w:pPr>
        <w:widowControl/>
        <w:adjustRightInd w:val="0"/>
        <w:snapToGrid w:val="0"/>
        <w:ind w:firstLine="480"/>
        <w:rPr>
          <w:rFonts w:hint="eastAsia" w:ascii="宋体" w:hAnsi="宋体" w:cs="宋体"/>
          <w:sz w:val="24"/>
          <w:shd w:val="clear" w:color="auto" w:fill="FFFFFF"/>
        </w:rPr>
      </w:pPr>
      <w:r>
        <w:rPr>
          <w:rFonts w:hint="eastAsia" w:ascii="宋体" w:hAnsi="宋体" w:cs="宋体"/>
          <w:sz w:val="24"/>
          <w:shd w:val="clear" w:color="auto" w:fill="FFFFFF"/>
        </w:rPr>
        <w:t>内容主要包括价格理论，消费者行为理论（效用理论），生产理论，成本理论，竞争市场</w:t>
      </w:r>
      <w:r>
        <w:rPr>
          <w:rFonts w:ascii="宋体" w:hAnsi="宋体" w:cs="宋体"/>
          <w:sz w:val="24"/>
          <w:shd w:val="clear" w:color="auto" w:fill="FFFFFF"/>
        </w:rPr>
        <w:t>理论，</w:t>
      </w:r>
      <w:r>
        <w:rPr>
          <w:rFonts w:hint="eastAsia" w:ascii="宋体" w:hAnsi="宋体" w:cs="宋体"/>
          <w:sz w:val="24"/>
          <w:shd w:val="clear" w:color="auto" w:fill="FFFFFF"/>
        </w:rPr>
        <w:t>国民收入决定理论，产品</w:t>
      </w:r>
      <w:r>
        <w:rPr>
          <w:rFonts w:ascii="宋体" w:hAnsi="宋体" w:cs="宋体"/>
          <w:sz w:val="24"/>
          <w:shd w:val="clear" w:color="auto" w:fill="FFFFFF"/>
        </w:rPr>
        <w:t>与货币市场均衡理论，</w:t>
      </w:r>
      <w:r>
        <w:rPr>
          <w:rFonts w:hint="eastAsia" w:ascii="宋体" w:hAnsi="宋体" w:cs="宋体"/>
          <w:sz w:val="24"/>
          <w:shd w:val="clear" w:color="auto" w:fill="FFFFFF"/>
        </w:rPr>
        <w:t>宏观经济政策分析，失业与通货膨胀理论等。测试学生对微观经济学和宏观经济学的基本原理、基本工具和方法的掌握程度，了解其是否具有初步应用这些基本原理和基本方法分析有关问题的能力。</w:t>
      </w:r>
    </w:p>
    <w:p>
      <w:pPr>
        <w:widowControl/>
        <w:adjustRightInd w:val="0"/>
        <w:snapToGrid w:val="0"/>
        <w:rPr>
          <w:rFonts w:ascii="宋体" w:hAnsi="宋体" w:cs="宋体"/>
          <w:b/>
          <w:bCs/>
          <w:sz w:val="24"/>
          <w:shd w:val="clear" w:color="auto" w:fill="FFFFFF"/>
        </w:rPr>
      </w:pPr>
    </w:p>
    <w:p>
      <w:pPr>
        <w:widowControl/>
        <w:adjustRightInd w:val="0"/>
        <w:snapToGrid w:val="0"/>
        <w:rPr>
          <w:rFonts w:hint="eastAsia" w:ascii="宋体" w:hAnsi="宋体" w:cs="宋体"/>
          <w:sz w:val="24"/>
          <w:shd w:val="clear" w:color="auto" w:fill="FFFFFF"/>
        </w:rPr>
      </w:pPr>
      <w:r>
        <w:rPr>
          <w:rFonts w:hint="eastAsia" w:ascii="宋体" w:hAnsi="宋体" w:cs="宋体"/>
          <w:b/>
          <w:bCs/>
          <w:sz w:val="24"/>
          <w:shd w:val="clear" w:color="auto" w:fill="FFFFFF"/>
        </w:rPr>
        <w:t>第一部分  微观经济理论</w:t>
      </w:r>
    </w:p>
    <w:p>
      <w:pPr>
        <w:widowControl/>
        <w:adjustRightInd w:val="0"/>
        <w:snapToGrid w:val="0"/>
        <w:rPr>
          <w:rFonts w:hint="eastAsia" w:ascii="宋体" w:hAnsi="宋体" w:cs="宋体"/>
          <w:sz w:val="24"/>
          <w:shd w:val="clear" w:color="auto" w:fill="FFFFFF"/>
        </w:rPr>
      </w:pPr>
      <w:r>
        <w:rPr>
          <w:rFonts w:hint="eastAsia" w:ascii="宋体" w:hAnsi="宋体" w:cs="宋体"/>
          <w:bCs/>
          <w:sz w:val="24"/>
          <w:shd w:val="clear" w:color="auto" w:fill="FFFFFF"/>
        </w:rPr>
        <w:t>一、需求、供给与价格理论</w:t>
      </w:r>
    </w:p>
    <w:p>
      <w:pPr>
        <w:numPr>
          <w:ilvl w:val="0"/>
          <w:numId w:val="1"/>
        </w:numPr>
        <w:shd w:val="solid" w:color="FFFFFF" w:fill="auto"/>
        <w:autoSpaceDN w:val="0"/>
        <w:adjustRightInd w:val="0"/>
        <w:snapToGrid w:val="0"/>
        <w:rPr>
          <w:rFonts w:hint="eastAsia" w:ascii="宋体" w:hAnsi="宋体" w:cs="宋体"/>
          <w:spacing w:val="-17"/>
          <w:sz w:val="24"/>
          <w:shd w:val="clear" w:color="auto" w:fill="FFFFFF"/>
        </w:rPr>
      </w:pPr>
      <w:r>
        <w:rPr>
          <w:rFonts w:hint="eastAsia" w:ascii="宋体" w:hAnsi="宋体" w:cs="宋体"/>
          <w:spacing w:val="-17"/>
          <w:sz w:val="24"/>
          <w:shd w:val="clear" w:color="auto" w:fill="FFFFFF"/>
        </w:rPr>
        <w:t>需求理论</w:t>
      </w:r>
    </w:p>
    <w:p>
      <w:p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pacing w:val="-13"/>
          <w:sz w:val="24"/>
          <w:shd w:val="clear" w:color="auto" w:fill="FFFFFF"/>
        </w:rPr>
        <w:t xml:space="preserve">     </w:t>
      </w:r>
      <w:r>
        <w:rPr>
          <w:rFonts w:hint="eastAsia" w:ascii="宋体" w:hAnsi="宋体" w:cs="宋体"/>
          <w:sz w:val="24"/>
          <w:shd w:val="clear" w:color="auto" w:fill="FFFFFF"/>
        </w:rPr>
        <w:t>需求、需求表、需求曲线与需求规律      影响需求的因素：需求函数</w:t>
      </w:r>
    </w:p>
    <w:p>
      <w:p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 xml:space="preserve">    需求定理                              需求量的变动与需求的变动</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供给理论</w:t>
      </w:r>
    </w:p>
    <w:p>
      <w:p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pacing w:val="-13"/>
          <w:sz w:val="24"/>
          <w:shd w:val="clear" w:color="auto" w:fill="FFFFFF"/>
        </w:rPr>
        <w:t xml:space="preserve">    </w:t>
      </w:r>
      <w:r>
        <w:rPr>
          <w:rFonts w:hint="eastAsia" w:ascii="宋体" w:hAnsi="宋体" w:cs="宋体"/>
          <w:sz w:val="24"/>
          <w:shd w:val="clear" w:color="auto" w:fill="FFFFFF"/>
        </w:rPr>
        <w:t xml:space="preserve"> 供给、供给表、供给曲线                影响供给的因素：供给函数</w:t>
      </w:r>
    </w:p>
    <w:p>
      <w:p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 xml:space="preserve">    供给定理                              供给量的变动与供给的变动</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价格的决定</w:t>
      </w:r>
    </w:p>
    <w:p>
      <w:pPr>
        <w:shd w:val="solid" w:color="FFFFFF" w:fill="auto"/>
        <w:autoSpaceDN w:val="0"/>
        <w:adjustRightInd w:val="0"/>
        <w:snapToGrid w:val="0"/>
        <w:ind w:firstLine="480"/>
        <w:rPr>
          <w:rFonts w:hint="eastAsia" w:ascii="宋体" w:hAnsi="宋体" w:cs="宋体"/>
          <w:sz w:val="24"/>
          <w:shd w:val="clear" w:color="auto" w:fill="FFFFFF"/>
        </w:rPr>
      </w:pPr>
      <w:r>
        <w:rPr>
          <w:rFonts w:hint="eastAsia" w:ascii="宋体" w:hAnsi="宋体" w:cs="宋体"/>
          <w:sz w:val="24"/>
          <w:shd w:val="clear" w:color="auto" w:fill="FFFFFF"/>
        </w:rPr>
        <w:t>均衡价格含义及形成                    需求与供给变动对均衡的影响</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需求价格弹性</w:t>
      </w:r>
    </w:p>
    <w:p>
      <w:pPr>
        <w:shd w:val="solid" w:color="FFFFFF" w:fill="auto"/>
        <w:autoSpaceDN w:val="0"/>
        <w:adjustRightInd w:val="0"/>
        <w:snapToGrid w:val="0"/>
        <w:ind w:firstLine="480"/>
        <w:rPr>
          <w:rFonts w:hint="eastAsia" w:ascii="宋体" w:hAnsi="宋体" w:cs="宋体"/>
          <w:sz w:val="24"/>
          <w:shd w:val="clear" w:color="auto" w:fill="FFFFFF"/>
        </w:rPr>
      </w:pPr>
      <w:r>
        <w:rPr>
          <w:rFonts w:hint="eastAsia" w:ascii="宋体" w:hAnsi="宋体" w:cs="宋体"/>
          <w:sz w:val="24"/>
          <w:shd w:val="clear" w:color="auto" w:fill="FFFFFF"/>
        </w:rPr>
        <w:t>需求价格弹性的含义与分类              影响需求弹性的因素</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弹性理论的运用：需求弹性与总收益</w:t>
      </w:r>
    </w:p>
    <w:p>
      <w:p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bCs/>
          <w:sz w:val="24"/>
          <w:shd w:val="clear" w:color="auto" w:fill="FFFFFF"/>
        </w:rPr>
        <w:t>二、消费者行为理论（效用理论）</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效用</w:t>
      </w:r>
    </w:p>
    <w:p>
      <w:p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 xml:space="preserve">    基数效用论与序数效用论     总效用与边际效用      边际效用递减规律</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序数效用论</w:t>
      </w:r>
    </w:p>
    <w:p>
      <w:p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 xml:space="preserve">    无差异曲线及特征           消费可能线（预算线）   消费者均衡</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消费者行为理论的运用</w:t>
      </w:r>
    </w:p>
    <w:p>
      <w:p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 xml:space="preserve">    消费者剩余                    消费者行为与需求定理</w:t>
      </w:r>
    </w:p>
    <w:p>
      <w:pPr>
        <w:shd w:val="solid" w:color="FFFFFF" w:fill="auto"/>
        <w:autoSpaceDN w:val="0"/>
        <w:adjustRightInd w:val="0"/>
        <w:snapToGrid w:val="0"/>
        <w:rPr>
          <w:rFonts w:hint="eastAsia" w:ascii="宋体" w:hAnsi="宋体" w:cs="宋体"/>
          <w:b/>
          <w:bCs/>
          <w:sz w:val="24"/>
          <w:shd w:val="clear" w:color="auto" w:fill="FFFFFF"/>
        </w:rPr>
      </w:pPr>
      <w:r>
        <w:rPr>
          <w:rFonts w:hint="eastAsia" w:ascii="宋体" w:hAnsi="宋体" w:cs="宋体"/>
          <w:bCs/>
          <w:sz w:val="24"/>
          <w:shd w:val="clear" w:color="auto" w:fill="FFFFFF"/>
        </w:rPr>
        <w:t>三、生产理论</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生产要素与生产函数</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边际收益递减规律</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总产量、平均产量、边际产量的关系</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等产量线与等成本线</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规模报酬</w:t>
      </w:r>
    </w:p>
    <w:p>
      <w:pPr>
        <w:shd w:val="solid" w:color="FFFFFF" w:fill="auto"/>
        <w:autoSpaceDN w:val="0"/>
        <w:adjustRightInd w:val="0"/>
        <w:snapToGrid w:val="0"/>
        <w:rPr>
          <w:rFonts w:hint="eastAsia" w:ascii="宋体" w:hAnsi="宋体" w:cs="宋体"/>
          <w:bCs/>
          <w:sz w:val="24"/>
          <w:shd w:val="clear" w:color="auto" w:fill="FFFFFF"/>
        </w:rPr>
      </w:pPr>
      <w:r>
        <w:rPr>
          <w:rFonts w:hint="eastAsia" w:ascii="宋体" w:hAnsi="宋体" w:cs="宋体"/>
          <w:bCs/>
          <w:sz w:val="24"/>
          <w:shd w:val="clear" w:color="auto" w:fill="FFFFFF"/>
        </w:rPr>
        <w:t>四、成本与收益理论</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成本</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会计成本与机会成本             机会成本在企业决策中的作用</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短期成本</w:t>
      </w:r>
    </w:p>
    <w:p>
      <w:p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 xml:space="preserve">   短期成本的分类                 各类短期成本的变动规律及其关系</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长期成本</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长期总成本                     长期平均成本          长期边际成本</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收益与利润最大化</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总收益、平均收益与边际收益     利润最大化原则</w:t>
      </w:r>
    </w:p>
    <w:p>
      <w:pPr>
        <w:shd w:val="solid" w:color="FFFFFF" w:fill="auto"/>
        <w:autoSpaceDN w:val="0"/>
        <w:adjustRightInd w:val="0"/>
        <w:snapToGrid w:val="0"/>
        <w:rPr>
          <w:rFonts w:hint="eastAsia" w:ascii="宋体" w:hAnsi="宋体" w:cs="宋体"/>
          <w:b/>
          <w:bCs/>
          <w:sz w:val="24"/>
          <w:shd w:val="clear" w:color="auto" w:fill="FFFFFF"/>
        </w:rPr>
      </w:pPr>
      <w:r>
        <w:rPr>
          <w:rFonts w:hint="eastAsia" w:ascii="宋体" w:hAnsi="宋体" w:cs="宋体"/>
          <w:bCs/>
          <w:sz w:val="24"/>
          <w:shd w:val="clear" w:color="auto" w:fill="FFFFFF"/>
        </w:rPr>
        <w:t>五、竞争市场理论</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市场结构</w:t>
      </w:r>
    </w:p>
    <w:p>
      <w:p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 xml:space="preserve">   市场结构类型                   市场结构与企业行为的关系</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完全竞争市场</w:t>
      </w:r>
    </w:p>
    <w:p>
      <w:p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 xml:space="preserve">   完全竞争市场含义与特征     完全竞争市场需求曲线、平均收益与边际收益</w:t>
      </w:r>
    </w:p>
    <w:p>
      <w:p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 xml:space="preserve">   利润最大化的基本原则       完全竞争市场上的短期均衡与长期均衡</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非完全竞争市场</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完全垄断、垄断竞争和寡头垄断市场的条件及其特征</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完全垄断厂商的需求曲线、平均收益与边际收益</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垄断市场上的短期均衡与长期均衡（了解）</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垄断竞争与完全竞争的比较</w:t>
      </w:r>
    </w:p>
    <w:p>
      <w:p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 xml:space="preserve">   垄断竞争市场上的产品差别竞争    </w:t>
      </w:r>
    </w:p>
    <w:p>
      <w:pPr>
        <w:shd w:val="solid" w:color="FFFFFF" w:fill="auto"/>
        <w:autoSpaceDN w:val="0"/>
        <w:adjustRightInd w:val="0"/>
        <w:snapToGrid w:val="0"/>
        <w:rPr>
          <w:rFonts w:hint="eastAsia" w:ascii="宋体" w:hAnsi="宋体" w:cs="宋体"/>
          <w:b/>
          <w:bCs/>
          <w:sz w:val="24"/>
          <w:shd w:val="clear" w:color="auto" w:fill="FFFFFF"/>
        </w:rPr>
      </w:pPr>
    </w:p>
    <w:p>
      <w:p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b/>
          <w:bCs/>
          <w:sz w:val="24"/>
          <w:shd w:val="clear" w:color="auto" w:fill="FFFFFF"/>
        </w:rPr>
        <w:t>第二部分  宏观经济理论</w:t>
      </w:r>
    </w:p>
    <w:p>
      <w:p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bCs/>
          <w:sz w:val="24"/>
          <w:shd w:val="clear" w:color="auto" w:fill="FFFFFF"/>
        </w:rPr>
        <w:t>一、国民收入决定理论</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国内生产总值</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 xml:space="preserve">国内生产总值的含义                       </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国内生产总值的计算方法</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 xml:space="preserve">实际国内生产总值与名义国内生产总值      </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国内生产总值与人均国内生产总值</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消费函数、储蓄函数</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乘数理论</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其他宏观经济指标（了解）</w:t>
      </w:r>
    </w:p>
    <w:p>
      <w:pPr>
        <w:shd w:val="solid" w:color="FFFFFF" w:fill="auto"/>
        <w:autoSpaceDN w:val="0"/>
        <w:adjustRightInd w:val="0"/>
        <w:snapToGrid w:val="0"/>
        <w:ind w:firstLine="480"/>
        <w:rPr>
          <w:rFonts w:hint="eastAsia" w:ascii="宋体" w:hAnsi="宋体" w:cs="宋体"/>
          <w:sz w:val="24"/>
          <w:shd w:val="clear" w:color="auto" w:fill="FFFFFF"/>
        </w:rPr>
      </w:pPr>
      <w:r>
        <w:rPr>
          <w:rFonts w:hint="eastAsia" w:ascii="宋体" w:hAnsi="宋体" w:cs="宋体"/>
          <w:sz w:val="24"/>
          <w:shd w:val="clear" w:color="auto" w:fill="FFFFFF"/>
        </w:rPr>
        <w:t>物价指数                       失业率</w:t>
      </w:r>
    </w:p>
    <w:p>
      <w:p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bCs/>
          <w:sz w:val="24"/>
          <w:shd w:val="clear" w:color="auto" w:fill="FFFFFF"/>
        </w:rPr>
        <w:t>二、产品市场和货币市场的一般均衡理论</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投资的决定</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实际利率与投资                  边际效率</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投资边际效率曲线                预期收益与投资</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商品市场的均衡（IS）曲线</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货币市场的均衡（LM）曲线</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利率的决定</w:t>
      </w:r>
    </w:p>
    <w:p>
      <w:pPr>
        <w:shd w:val="solid" w:color="FFFFFF" w:fill="auto"/>
        <w:autoSpaceDN w:val="0"/>
        <w:adjustRightInd w:val="0"/>
        <w:snapToGrid w:val="0"/>
        <w:rPr>
          <w:rFonts w:hint="eastAsia" w:ascii="宋体" w:hAnsi="宋体" w:cs="宋体"/>
          <w:b/>
          <w:bCs/>
          <w:sz w:val="24"/>
          <w:shd w:val="clear" w:color="auto" w:fill="FFFFFF"/>
        </w:rPr>
      </w:pPr>
      <w:r>
        <w:rPr>
          <w:rFonts w:hint="eastAsia" w:ascii="宋体" w:hAnsi="宋体" w:cs="宋体"/>
          <w:bCs/>
          <w:sz w:val="24"/>
          <w:shd w:val="clear" w:color="auto" w:fill="FFFFFF"/>
        </w:rPr>
        <w:t xml:space="preserve">三、宏观经济政策分析 </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财政政策和货币政策的影响</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财政政策                         货币政策</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财政政策和货币政策的影响         财政政策和货币政策的混合使用</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经济政策目标</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 xml:space="preserve">充分就业                         价格稳定 </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经济持续均衡增长                 国际收支平衡。</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财政政策</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财政政策工具                     自动稳定与相机抉择的财政政策</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功能财政和预算盈余               充分就业预算盈余与财政政策方向</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货币政策</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商业银行和中央银行               存款创造和货币供给</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债券价格与市场利息率的关系       货币政策及其工具</w:t>
      </w:r>
    </w:p>
    <w:p>
      <w:pPr>
        <w:shd w:val="solid" w:color="FFFFFF" w:fill="auto"/>
        <w:autoSpaceDN w:val="0"/>
        <w:adjustRightInd w:val="0"/>
        <w:snapToGrid w:val="0"/>
        <w:rPr>
          <w:rFonts w:hint="eastAsia" w:ascii="宋体" w:hAnsi="宋体" w:cs="宋体"/>
          <w:b/>
          <w:bCs/>
          <w:sz w:val="24"/>
          <w:shd w:val="clear" w:color="auto" w:fill="FFFFFF"/>
        </w:rPr>
      </w:pPr>
      <w:r>
        <w:rPr>
          <w:rFonts w:hint="eastAsia" w:ascii="宋体" w:hAnsi="宋体" w:cs="宋体"/>
          <w:bCs/>
          <w:sz w:val="24"/>
          <w:shd w:val="clear" w:color="auto" w:fill="FFFFFF"/>
        </w:rPr>
        <w:t>四、失业、通货膨胀理论</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失业理论</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 xml:space="preserve">失业的分类                       自然失业率和自然就业率  </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失业的影响                       奥肯定律</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通货膨胀理论</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 xml:space="preserve">通货膨胀的含义与分类             通货膨胀对经济的影响  </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 xml:space="preserve">通货膨胀的原因                   需求拉动的通货膨胀理论    </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供给推动的通货膨胀理论           其他通货膨胀理论</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治理通货膨胀的对策</w:t>
      </w:r>
    </w:p>
    <w:p>
      <w:pPr>
        <w:numPr>
          <w:ilvl w:val="0"/>
          <w:numId w:val="2"/>
        </w:numPr>
        <w:shd w:val="solid" w:color="FFFFFF" w:fill="auto"/>
        <w:autoSpaceDN w:val="0"/>
        <w:adjustRightInd w:val="0"/>
        <w:snapToGrid w:val="0"/>
        <w:rPr>
          <w:rFonts w:hint="eastAsia" w:ascii="宋体" w:hAnsi="宋体" w:cs="宋体"/>
          <w:sz w:val="24"/>
          <w:shd w:val="clear" w:color="auto" w:fill="FFFFFF"/>
        </w:rPr>
      </w:pPr>
      <w:r>
        <w:rPr>
          <w:rFonts w:hint="eastAsia" w:ascii="宋体" w:hAnsi="宋体" w:cs="宋体"/>
          <w:sz w:val="24"/>
          <w:shd w:val="clear" w:color="auto" w:fill="FFFFFF"/>
        </w:rPr>
        <w:t>菲利普斯曲线</w:t>
      </w:r>
    </w:p>
    <w:p>
      <w:pPr>
        <w:shd w:val="solid" w:color="FFFFFF" w:fill="auto"/>
        <w:autoSpaceDN w:val="0"/>
        <w:adjustRightInd w:val="0"/>
        <w:snapToGrid w:val="0"/>
        <w:ind w:left="420"/>
        <w:rPr>
          <w:rFonts w:hint="eastAsia" w:ascii="宋体" w:hAnsi="宋体" w:cs="宋体"/>
          <w:sz w:val="24"/>
          <w:shd w:val="clear" w:color="auto" w:fill="FFFFFF"/>
        </w:rPr>
      </w:pPr>
      <w:r>
        <w:rPr>
          <w:rFonts w:hint="eastAsia" w:ascii="宋体" w:hAnsi="宋体" w:cs="宋体"/>
          <w:sz w:val="24"/>
          <w:shd w:val="clear" w:color="auto" w:fill="FFFFFF"/>
        </w:rPr>
        <w:t>菲利普斯曲线的提出               菲利普斯曲线的政策含义</w:t>
      </w:r>
    </w:p>
    <w:p>
      <w:pPr>
        <w:shd w:val="solid" w:color="FFFFFF" w:fill="auto"/>
        <w:autoSpaceDN w:val="0"/>
        <w:adjustRightInd w:val="0"/>
        <w:snapToGrid w:val="0"/>
        <w:ind w:left="420"/>
        <w:rPr>
          <w:rFonts w:hint="eastAsia" w:ascii="宋体" w:hAnsi="宋体" w:cs="宋体"/>
          <w:sz w:val="24"/>
          <w:shd w:val="clear" w:color="auto" w:fill="FFFFFF"/>
        </w:rPr>
      </w:pPr>
    </w:p>
    <w:p>
      <w:pPr>
        <w:adjustRightInd w:val="0"/>
        <w:snapToGrid w:val="0"/>
        <w:jc w:val="center"/>
        <w:rPr>
          <w:rFonts w:hint="eastAsia" w:ascii="宋体" w:hAnsi="宋体" w:cs="宋体"/>
          <w:sz w:val="24"/>
        </w:rPr>
      </w:pPr>
    </w:p>
    <w:p>
      <w:pPr>
        <w:widowControl/>
        <w:adjustRightInd w:val="0"/>
        <w:snapToGrid w:val="0"/>
        <w:jc w:val="center"/>
        <w:rPr>
          <w:rFonts w:hint="eastAsia" w:ascii="黑体" w:hAnsi="黑体" w:eastAsia="黑体" w:cs="黑体"/>
          <w:bCs/>
          <w:kern w:val="0"/>
          <w:sz w:val="36"/>
          <w:szCs w:val="36"/>
        </w:rPr>
      </w:pPr>
      <w:r>
        <w:rPr>
          <w:rFonts w:hint="eastAsia" w:ascii="黑体" w:hAnsi="黑体" w:eastAsia="黑体" w:cs="黑体"/>
          <w:bCs/>
          <w:kern w:val="0"/>
          <w:sz w:val="36"/>
          <w:szCs w:val="36"/>
        </w:rPr>
        <w:t>《金融学基础》</w:t>
      </w:r>
    </w:p>
    <w:p>
      <w:pPr>
        <w:widowControl/>
        <w:adjustRightInd w:val="0"/>
        <w:snapToGrid w:val="0"/>
        <w:rPr>
          <w:rFonts w:hint="eastAsia" w:ascii="宋体" w:hAnsi="宋体" w:cs="宋体"/>
          <w:b/>
          <w:kern w:val="0"/>
          <w:sz w:val="24"/>
        </w:rPr>
      </w:pPr>
      <w:r>
        <w:rPr>
          <w:rFonts w:hint="eastAsia" w:ascii="宋体" w:hAnsi="宋体" w:cs="宋体"/>
          <w:b/>
          <w:kern w:val="0"/>
          <w:sz w:val="24"/>
        </w:rPr>
        <w:t>《金融学基础》考试大纲概述：</w:t>
      </w:r>
    </w:p>
    <w:p>
      <w:pPr>
        <w:adjustRightInd w:val="0"/>
        <w:snapToGrid w:val="0"/>
        <w:ind w:firstLine="480" w:firstLineChars="200"/>
        <w:rPr>
          <w:rFonts w:hint="eastAsia" w:ascii="宋体" w:hAnsi="宋体" w:cs="宋体"/>
          <w:kern w:val="0"/>
          <w:sz w:val="24"/>
        </w:rPr>
      </w:pPr>
      <w:r>
        <w:rPr>
          <w:rFonts w:hint="eastAsia" w:ascii="宋体" w:hAnsi="宋体" w:cs="宋体"/>
          <w:kern w:val="0"/>
          <w:sz w:val="24"/>
        </w:rPr>
        <w:t>学生应掌握金融学相关的基本概念、基本理论。考察学生对金融学基本知识的掌握和运用能力；注重对学生知识结构的考察，考察学生综合运用金融学知识解决相关实际问题的能力 。</w:t>
      </w:r>
    </w:p>
    <w:p>
      <w:pPr>
        <w:adjustRightInd w:val="0"/>
        <w:snapToGrid w:val="0"/>
        <w:rPr>
          <w:rFonts w:hint="eastAsia" w:ascii="宋体" w:hAnsi="宋体" w:cs="宋体"/>
          <w:b/>
          <w:kern w:val="0"/>
          <w:sz w:val="24"/>
        </w:rPr>
      </w:pPr>
      <w:r>
        <w:rPr>
          <w:rFonts w:hint="eastAsia" w:ascii="宋体" w:hAnsi="宋体" w:cs="宋体"/>
          <w:b/>
          <w:kern w:val="0"/>
          <w:sz w:val="24"/>
        </w:rPr>
        <w:t>一、总论</w:t>
      </w:r>
    </w:p>
    <w:p>
      <w:pPr>
        <w:adjustRightInd w:val="0"/>
        <w:snapToGrid w:val="0"/>
        <w:ind w:firstLine="482" w:firstLineChars="200"/>
        <w:rPr>
          <w:rFonts w:hint="eastAsia" w:ascii="宋体" w:hAnsi="宋体" w:cs="宋体"/>
          <w:b/>
          <w:kern w:val="0"/>
          <w:sz w:val="24"/>
        </w:rPr>
      </w:pPr>
      <w:r>
        <w:rPr>
          <w:rFonts w:hint="eastAsia" w:ascii="宋体" w:hAnsi="宋体" w:cs="宋体"/>
          <w:b/>
          <w:kern w:val="0"/>
          <w:sz w:val="24"/>
        </w:rPr>
        <w:t>1.货币</w:t>
      </w:r>
    </w:p>
    <w:p>
      <w:pPr>
        <w:adjustRightInd w:val="0"/>
        <w:snapToGrid w:val="0"/>
        <w:ind w:firstLine="480" w:firstLineChars="200"/>
        <w:rPr>
          <w:rFonts w:hint="eastAsia" w:ascii="宋体" w:hAnsi="宋体" w:cs="宋体"/>
          <w:kern w:val="0"/>
          <w:sz w:val="24"/>
        </w:rPr>
      </w:pPr>
      <w:r>
        <w:rPr>
          <w:rFonts w:hint="eastAsia" w:ascii="宋体" w:hAnsi="宋体" w:cs="宋体"/>
          <w:kern w:val="0"/>
          <w:sz w:val="24"/>
        </w:rPr>
        <w:t>货币的定义，货币的职能，货币的类型，货币制度，货币的度量与货币层次的划分、货币与准货币。</w:t>
      </w:r>
    </w:p>
    <w:p>
      <w:pPr>
        <w:adjustRightInd w:val="0"/>
        <w:snapToGrid w:val="0"/>
        <w:ind w:firstLine="482" w:firstLineChars="200"/>
        <w:rPr>
          <w:rFonts w:hint="eastAsia" w:ascii="宋体" w:hAnsi="宋体" w:cs="宋体"/>
          <w:b/>
          <w:kern w:val="0"/>
          <w:sz w:val="24"/>
        </w:rPr>
      </w:pPr>
      <w:r>
        <w:rPr>
          <w:rFonts w:hint="eastAsia" w:ascii="宋体" w:hAnsi="宋体" w:cs="宋体"/>
          <w:b/>
          <w:kern w:val="0"/>
          <w:sz w:val="24"/>
        </w:rPr>
        <w:t>2.金融系统</w:t>
      </w:r>
    </w:p>
    <w:p>
      <w:pPr>
        <w:adjustRightInd w:val="0"/>
        <w:snapToGrid w:val="0"/>
        <w:ind w:firstLine="480" w:firstLineChars="200"/>
        <w:rPr>
          <w:rFonts w:hint="eastAsia" w:ascii="宋体" w:hAnsi="宋体" w:cs="宋体"/>
          <w:kern w:val="0"/>
          <w:sz w:val="24"/>
        </w:rPr>
      </w:pPr>
      <w:r>
        <w:rPr>
          <w:rFonts w:hint="eastAsia" w:ascii="宋体" w:hAnsi="宋体" w:cs="宋体"/>
          <w:kern w:val="0"/>
          <w:sz w:val="24"/>
        </w:rPr>
        <w:t>资金盈余者与资金短缺者，资金盈余者与短缺者直接的联系机制，金融体系的功能，金融工具，金融系统中的信息不对称。</w:t>
      </w:r>
    </w:p>
    <w:p>
      <w:pPr>
        <w:adjustRightInd w:val="0"/>
        <w:snapToGrid w:val="0"/>
        <w:ind w:firstLine="482" w:firstLineChars="200"/>
        <w:rPr>
          <w:rFonts w:hint="eastAsia" w:ascii="宋体" w:hAnsi="宋体" w:cs="宋体"/>
          <w:b/>
          <w:kern w:val="0"/>
          <w:sz w:val="24"/>
        </w:rPr>
      </w:pPr>
      <w:r>
        <w:rPr>
          <w:rFonts w:hint="eastAsia" w:ascii="宋体" w:hAnsi="宋体" w:cs="宋体"/>
          <w:b/>
          <w:kern w:val="0"/>
          <w:sz w:val="24"/>
        </w:rPr>
        <w:t>3.货币的时间价值</w:t>
      </w:r>
    </w:p>
    <w:p>
      <w:pPr>
        <w:adjustRightInd w:val="0"/>
        <w:snapToGrid w:val="0"/>
        <w:ind w:firstLine="480" w:firstLineChars="200"/>
        <w:rPr>
          <w:rFonts w:hint="eastAsia" w:ascii="宋体" w:hAnsi="宋体" w:cs="宋体"/>
          <w:kern w:val="0"/>
          <w:sz w:val="24"/>
        </w:rPr>
      </w:pPr>
      <w:r>
        <w:rPr>
          <w:rFonts w:hint="eastAsia" w:ascii="宋体" w:hAnsi="宋体" w:cs="宋体"/>
          <w:kern w:val="0"/>
          <w:sz w:val="24"/>
        </w:rPr>
        <w:t>货币的时间价值及其计量，复利与终值的计算，现值与年金现值，年金现值与终值的结合，通货膨胀、利息税的影响。</w:t>
      </w:r>
    </w:p>
    <w:p>
      <w:pPr>
        <w:adjustRightInd w:val="0"/>
        <w:snapToGrid w:val="0"/>
        <w:ind w:firstLine="482" w:firstLineChars="200"/>
        <w:rPr>
          <w:rFonts w:hint="eastAsia" w:ascii="宋体" w:hAnsi="宋体" w:cs="宋体"/>
          <w:b/>
          <w:kern w:val="0"/>
          <w:sz w:val="24"/>
        </w:rPr>
      </w:pPr>
      <w:r>
        <w:rPr>
          <w:rFonts w:hint="eastAsia" w:ascii="宋体" w:hAnsi="宋体" w:cs="宋体"/>
          <w:b/>
          <w:kern w:val="0"/>
          <w:sz w:val="24"/>
        </w:rPr>
        <w:t>4.资源的时间配置:储蓄与消费的选择</w:t>
      </w:r>
    </w:p>
    <w:p>
      <w:pPr>
        <w:adjustRightInd w:val="0"/>
        <w:snapToGrid w:val="0"/>
        <w:ind w:firstLine="480" w:firstLineChars="200"/>
        <w:rPr>
          <w:rFonts w:hint="eastAsia" w:ascii="宋体" w:hAnsi="宋体" w:cs="宋体"/>
          <w:kern w:val="0"/>
          <w:sz w:val="24"/>
        </w:rPr>
      </w:pPr>
      <w:r>
        <w:rPr>
          <w:rFonts w:hint="eastAsia" w:ascii="宋体" w:hAnsi="宋体" w:cs="宋体"/>
          <w:kern w:val="0"/>
          <w:sz w:val="24"/>
        </w:rPr>
        <w:t>储蓄的性质及其形式，储蓄的动机，储蓄与消费的选择，生命周期储蓄计划。</w:t>
      </w:r>
    </w:p>
    <w:p>
      <w:pPr>
        <w:adjustRightInd w:val="0"/>
        <w:snapToGrid w:val="0"/>
        <w:ind w:firstLine="482" w:firstLineChars="200"/>
        <w:rPr>
          <w:rFonts w:hint="eastAsia" w:ascii="宋体" w:hAnsi="宋体" w:cs="宋体"/>
          <w:b/>
          <w:kern w:val="0"/>
          <w:sz w:val="24"/>
        </w:rPr>
      </w:pPr>
      <w:r>
        <w:rPr>
          <w:rFonts w:hint="eastAsia" w:ascii="宋体" w:hAnsi="宋体" w:cs="宋体"/>
          <w:b/>
          <w:kern w:val="0"/>
          <w:sz w:val="24"/>
        </w:rPr>
        <w:t>5.资金盈余者的资产选择与风险管理</w:t>
      </w:r>
    </w:p>
    <w:p>
      <w:pPr>
        <w:adjustRightInd w:val="0"/>
        <w:snapToGrid w:val="0"/>
        <w:ind w:firstLine="480" w:firstLineChars="200"/>
        <w:rPr>
          <w:rFonts w:hint="eastAsia" w:ascii="宋体" w:hAnsi="宋体" w:cs="宋体"/>
          <w:kern w:val="0"/>
          <w:sz w:val="24"/>
        </w:rPr>
      </w:pPr>
      <w:r>
        <w:rPr>
          <w:rFonts w:hint="eastAsia" w:ascii="宋体" w:hAnsi="宋体" w:cs="宋体"/>
          <w:kern w:val="0"/>
          <w:sz w:val="24"/>
        </w:rPr>
        <w:t>资产的类别及其各自的属性，资产选择的决定因素，资产风险及其管理。</w:t>
      </w:r>
    </w:p>
    <w:p>
      <w:pPr>
        <w:adjustRightInd w:val="0"/>
        <w:snapToGrid w:val="0"/>
        <w:ind w:firstLine="482" w:firstLineChars="200"/>
        <w:rPr>
          <w:rFonts w:hint="eastAsia" w:ascii="宋体" w:hAnsi="宋体" w:cs="宋体"/>
          <w:b/>
          <w:kern w:val="0"/>
          <w:sz w:val="24"/>
        </w:rPr>
      </w:pPr>
      <w:r>
        <w:rPr>
          <w:rFonts w:hint="eastAsia" w:ascii="宋体" w:hAnsi="宋体" w:cs="宋体"/>
          <w:b/>
          <w:kern w:val="0"/>
          <w:sz w:val="24"/>
        </w:rPr>
        <w:t>6.资金短缺者的融资选择</w:t>
      </w:r>
    </w:p>
    <w:p>
      <w:pPr>
        <w:adjustRightInd w:val="0"/>
        <w:snapToGrid w:val="0"/>
        <w:ind w:firstLine="480" w:firstLineChars="200"/>
        <w:rPr>
          <w:rFonts w:hint="eastAsia" w:ascii="宋体" w:hAnsi="宋体" w:cs="宋体"/>
          <w:kern w:val="0"/>
          <w:sz w:val="24"/>
        </w:rPr>
      </w:pPr>
      <w:r>
        <w:rPr>
          <w:rFonts w:hint="eastAsia" w:ascii="宋体" w:hAnsi="宋体" w:cs="宋体"/>
          <w:kern w:val="0"/>
          <w:sz w:val="24"/>
        </w:rPr>
        <w:t>内源融资与外源融资，外源融资，企业融资结构，政府融资。</w:t>
      </w:r>
    </w:p>
    <w:p>
      <w:pPr>
        <w:adjustRightInd w:val="0"/>
        <w:snapToGrid w:val="0"/>
        <w:rPr>
          <w:rFonts w:hint="eastAsia" w:ascii="宋体" w:hAnsi="宋体" w:cs="宋体"/>
          <w:b/>
          <w:kern w:val="0"/>
          <w:sz w:val="24"/>
        </w:rPr>
      </w:pPr>
      <w:r>
        <w:rPr>
          <w:rFonts w:hint="eastAsia" w:ascii="宋体" w:hAnsi="宋体" w:cs="宋体"/>
          <w:b/>
          <w:kern w:val="0"/>
          <w:sz w:val="24"/>
        </w:rPr>
        <w:t>二、机构与市场</w:t>
      </w:r>
    </w:p>
    <w:p>
      <w:pPr>
        <w:adjustRightInd w:val="0"/>
        <w:snapToGrid w:val="0"/>
        <w:ind w:firstLine="482" w:firstLineChars="200"/>
        <w:rPr>
          <w:rFonts w:hint="eastAsia" w:ascii="宋体" w:hAnsi="宋体" w:cs="宋体"/>
          <w:b/>
          <w:kern w:val="0"/>
          <w:sz w:val="24"/>
        </w:rPr>
      </w:pPr>
      <w:r>
        <w:rPr>
          <w:rFonts w:hint="eastAsia" w:ascii="宋体" w:hAnsi="宋体" w:cs="宋体"/>
          <w:b/>
          <w:kern w:val="0"/>
          <w:sz w:val="24"/>
        </w:rPr>
        <w:t>7.金融系统中的金融机构</w:t>
      </w:r>
    </w:p>
    <w:p>
      <w:pPr>
        <w:adjustRightInd w:val="0"/>
        <w:snapToGrid w:val="0"/>
        <w:ind w:firstLine="480" w:firstLineChars="200"/>
        <w:rPr>
          <w:rFonts w:hint="eastAsia" w:ascii="宋体" w:hAnsi="宋体" w:cs="宋体"/>
          <w:kern w:val="0"/>
          <w:sz w:val="24"/>
        </w:rPr>
      </w:pPr>
      <w:r>
        <w:rPr>
          <w:rFonts w:hint="eastAsia" w:ascii="宋体" w:hAnsi="宋体" w:cs="宋体"/>
          <w:kern w:val="0"/>
          <w:sz w:val="24"/>
        </w:rPr>
        <w:t>商业银行，政策性银行，保险公司，证券与期货市场，其他金融机构，政策与监管金融机构。</w:t>
      </w:r>
    </w:p>
    <w:p>
      <w:pPr>
        <w:adjustRightInd w:val="0"/>
        <w:snapToGrid w:val="0"/>
        <w:ind w:firstLine="482" w:firstLineChars="200"/>
        <w:rPr>
          <w:rFonts w:hint="eastAsia" w:ascii="宋体" w:hAnsi="宋体" w:cs="宋体"/>
          <w:b/>
          <w:kern w:val="0"/>
          <w:sz w:val="24"/>
        </w:rPr>
      </w:pPr>
      <w:r>
        <w:rPr>
          <w:rFonts w:hint="eastAsia" w:ascii="宋体" w:hAnsi="宋体" w:cs="宋体"/>
          <w:b/>
          <w:kern w:val="0"/>
          <w:sz w:val="24"/>
        </w:rPr>
        <w:t>8.商业银行业务与管理</w:t>
      </w:r>
    </w:p>
    <w:p>
      <w:pPr>
        <w:adjustRightInd w:val="0"/>
        <w:snapToGrid w:val="0"/>
        <w:ind w:firstLine="480" w:firstLineChars="200"/>
        <w:rPr>
          <w:rFonts w:hint="eastAsia" w:ascii="宋体" w:hAnsi="宋体" w:cs="宋体"/>
          <w:kern w:val="0"/>
          <w:sz w:val="24"/>
        </w:rPr>
      </w:pPr>
      <w:r>
        <w:rPr>
          <w:rFonts w:hint="eastAsia" w:ascii="宋体" w:hAnsi="宋体" w:cs="宋体"/>
          <w:kern w:val="0"/>
          <w:sz w:val="24"/>
        </w:rPr>
        <w:t>商业银行业务，资产与负债管理，流动性管理，信用风险管理，利率风险管理，资产证券化与银行风险管理。</w:t>
      </w:r>
    </w:p>
    <w:p>
      <w:pPr>
        <w:adjustRightInd w:val="0"/>
        <w:snapToGrid w:val="0"/>
        <w:ind w:firstLine="482" w:firstLineChars="200"/>
        <w:rPr>
          <w:rFonts w:hint="eastAsia" w:ascii="宋体" w:hAnsi="宋体" w:cs="宋体"/>
          <w:b/>
          <w:kern w:val="0"/>
          <w:sz w:val="24"/>
        </w:rPr>
      </w:pPr>
      <w:r>
        <w:rPr>
          <w:rFonts w:hint="eastAsia" w:ascii="宋体" w:hAnsi="宋体" w:cs="宋体"/>
          <w:b/>
          <w:kern w:val="0"/>
          <w:sz w:val="24"/>
        </w:rPr>
        <w:t>9.长期资本市场</w:t>
      </w:r>
    </w:p>
    <w:p>
      <w:pPr>
        <w:adjustRightInd w:val="0"/>
        <w:snapToGrid w:val="0"/>
        <w:ind w:firstLine="480" w:firstLineChars="200"/>
        <w:rPr>
          <w:rFonts w:hint="eastAsia" w:ascii="宋体" w:hAnsi="宋体" w:cs="宋体"/>
          <w:kern w:val="0"/>
          <w:sz w:val="24"/>
        </w:rPr>
      </w:pPr>
      <w:r>
        <w:rPr>
          <w:rFonts w:hint="eastAsia" w:ascii="宋体" w:hAnsi="宋体" w:cs="宋体"/>
          <w:kern w:val="0"/>
          <w:sz w:val="24"/>
        </w:rPr>
        <w:t>长期资本市场定义，长期资本市场工具的发行与交易，资本市场债券价值评估，股票价值评估，市场有效性与市场的过度反应。</w:t>
      </w:r>
    </w:p>
    <w:p>
      <w:pPr>
        <w:adjustRightInd w:val="0"/>
        <w:snapToGrid w:val="0"/>
        <w:ind w:firstLine="482" w:firstLineChars="200"/>
        <w:rPr>
          <w:rFonts w:hint="eastAsia" w:ascii="宋体" w:hAnsi="宋体" w:cs="宋体"/>
          <w:b/>
          <w:kern w:val="0"/>
          <w:sz w:val="24"/>
        </w:rPr>
      </w:pPr>
      <w:r>
        <w:rPr>
          <w:rFonts w:hint="eastAsia" w:ascii="宋体" w:hAnsi="宋体" w:cs="宋体"/>
          <w:b/>
          <w:kern w:val="0"/>
          <w:sz w:val="24"/>
        </w:rPr>
        <w:t>10.短期货币市场</w:t>
      </w:r>
    </w:p>
    <w:p>
      <w:pPr>
        <w:adjustRightInd w:val="0"/>
        <w:snapToGrid w:val="0"/>
        <w:ind w:firstLine="480" w:firstLineChars="200"/>
        <w:rPr>
          <w:rFonts w:hint="eastAsia" w:ascii="宋体" w:hAnsi="宋体" w:cs="宋体"/>
          <w:kern w:val="0"/>
          <w:sz w:val="24"/>
        </w:rPr>
      </w:pPr>
      <w:r>
        <w:rPr>
          <w:rFonts w:hint="eastAsia" w:ascii="宋体" w:hAnsi="宋体" w:cs="宋体"/>
          <w:kern w:val="0"/>
          <w:sz w:val="24"/>
        </w:rPr>
        <w:t>同业拆借市场，票据市场，短期债券与债券回购市场，货币市场基金。</w:t>
      </w:r>
    </w:p>
    <w:p>
      <w:pPr>
        <w:adjustRightInd w:val="0"/>
        <w:snapToGrid w:val="0"/>
        <w:ind w:firstLine="482" w:firstLineChars="200"/>
        <w:rPr>
          <w:rFonts w:hint="eastAsia" w:ascii="宋体" w:hAnsi="宋体" w:cs="宋体"/>
          <w:b/>
          <w:kern w:val="0"/>
          <w:sz w:val="24"/>
        </w:rPr>
      </w:pPr>
      <w:r>
        <w:rPr>
          <w:rFonts w:hint="eastAsia" w:ascii="宋体" w:hAnsi="宋体" w:cs="宋体"/>
          <w:b/>
          <w:kern w:val="0"/>
          <w:sz w:val="24"/>
        </w:rPr>
        <w:t>11.外汇市场</w:t>
      </w:r>
    </w:p>
    <w:p>
      <w:pPr>
        <w:adjustRightInd w:val="0"/>
        <w:snapToGrid w:val="0"/>
        <w:ind w:firstLine="480" w:firstLineChars="200"/>
        <w:rPr>
          <w:rFonts w:hint="eastAsia" w:ascii="宋体" w:hAnsi="宋体" w:cs="宋体"/>
          <w:kern w:val="0"/>
          <w:sz w:val="24"/>
        </w:rPr>
      </w:pPr>
      <w:r>
        <w:rPr>
          <w:rFonts w:hint="eastAsia" w:ascii="宋体" w:hAnsi="宋体" w:cs="宋体"/>
          <w:kern w:val="0"/>
          <w:sz w:val="24"/>
        </w:rPr>
        <w:t>外汇与汇率，外汇交易，汇率风险及其管理。</w:t>
      </w:r>
    </w:p>
    <w:p>
      <w:pPr>
        <w:adjustRightInd w:val="0"/>
        <w:snapToGrid w:val="0"/>
        <w:ind w:firstLine="482" w:firstLineChars="200"/>
        <w:rPr>
          <w:rFonts w:hint="eastAsia" w:ascii="宋体" w:hAnsi="宋体" w:cs="宋体"/>
          <w:b/>
          <w:kern w:val="0"/>
          <w:sz w:val="24"/>
        </w:rPr>
      </w:pPr>
      <w:r>
        <w:rPr>
          <w:rFonts w:hint="eastAsia" w:ascii="宋体" w:hAnsi="宋体" w:cs="宋体"/>
          <w:b/>
          <w:kern w:val="0"/>
          <w:sz w:val="24"/>
        </w:rPr>
        <w:t>12.金融衍生品市场</w:t>
      </w:r>
    </w:p>
    <w:p>
      <w:pPr>
        <w:adjustRightInd w:val="0"/>
        <w:snapToGrid w:val="0"/>
        <w:ind w:firstLine="480" w:firstLineChars="200"/>
        <w:rPr>
          <w:rFonts w:hint="eastAsia" w:ascii="宋体" w:hAnsi="宋体" w:cs="宋体"/>
          <w:kern w:val="0"/>
          <w:sz w:val="24"/>
        </w:rPr>
      </w:pPr>
      <w:r>
        <w:rPr>
          <w:rFonts w:hint="eastAsia" w:ascii="宋体" w:hAnsi="宋体" w:cs="宋体"/>
          <w:kern w:val="0"/>
          <w:sz w:val="24"/>
        </w:rPr>
        <w:t>远期交易，期货，期权，互换。</w:t>
      </w:r>
    </w:p>
    <w:p>
      <w:pPr>
        <w:adjustRightInd w:val="0"/>
        <w:snapToGrid w:val="0"/>
        <w:rPr>
          <w:rFonts w:hint="eastAsia" w:ascii="宋体" w:hAnsi="宋体" w:cs="宋体"/>
          <w:b/>
          <w:kern w:val="0"/>
          <w:sz w:val="24"/>
        </w:rPr>
      </w:pPr>
      <w:r>
        <w:rPr>
          <w:rFonts w:hint="eastAsia" w:ascii="宋体" w:hAnsi="宋体" w:cs="宋体"/>
          <w:b/>
          <w:kern w:val="0"/>
          <w:sz w:val="24"/>
        </w:rPr>
        <w:t>三、金融调控</w:t>
      </w:r>
    </w:p>
    <w:p>
      <w:pPr>
        <w:adjustRightInd w:val="0"/>
        <w:snapToGrid w:val="0"/>
        <w:ind w:firstLine="482" w:firstLineChars="200"/>
        <w:rPr>
          <w:rFonts w:hint="eastAsia" w:ascii="宋体" w:hAnsi="宋体" w:cs="宋体"/>
          <w:b/>
          <w:kern w:val="0"/>
          <w:sz w:val="24"/>
        </w:rPr>
      </w:pPr>
      <w:r>
        <w:rPr>
          <w:rFonts w:hint="eastAsia" w:ascii="宋体" w:hAnsi="宋体" w:cs="宋体"/>
          <w:b/>
          <w:kern w:val="0"/>
          <w:sz w:val="24"/>
        </w:rPr>
        <w:t>13.货币供给</w:t>
      </w:r>
    </w:p>
    <w:p>
      <w:pPr>
        <w:adjustRightInd w:val="0"/>
        <w:snapToGrid w:val="0"/>
        <w:ind w:firstLine="480" w:firstLineChars="200"/>
        <w:rPr>
          <w:rFonts w:hint="eastAsia" w:ascii="宋体" w:hAnsi="宋体" w:cs="宋体"/>
          <w:kern w:val="0"/>
          <w:sz w:val="24"/>
        </w:rPr>
      </w:pPr>
      <w:r>
        <w:rPr>
          <w:rFonts w:hint="eastAsia" w:ascii="宋体" w:hAnsi="宋体" w:cs="宋体"/>
          <w:kern w:val="0"/>
          <w:sz w:val="24"/>
        </w:rPr>
        <w:t>基础货币与基础货币方程式，银行体系派生存款的创造，货币乘数，决定货币乘数值因子的背后因素，货币供给的内生性与外生性。</w:t>
      </w:r>
    </w:p>
    <w:p>
      <w:pPr>
        <w:adjustRightInd w:val="0"/>
        <w:snapToGrid w:val="0"/>
        <w:ind w:firstLine="482" w:firstLineChars="200"/>
        <w:rPr>
          <w:rFonts w:hint="eastAsia" w:ascii="宋体" w:hAnsi="宋体" w:cs="宋体"/>
          <w:b/>
          <w:kern w:val="0"/>
          <w:sz w:val="24"/>
        </w:rPr>
      </w:pPr>
      <w:r>
        <w:rPr>
          <w:rFonts w:hint="eastAsia" w:ascii="宋体" w:hAnsi="宋体" w:cs="宋体"/>
          <w:b/>
          <w:kern w:val="0"/>
          <w:sz w:val="24"/>
        </w:rPr>
        <w:t>14.货币需求</w:t>
      </w:r>
    </w:p>
    <w:p>
      <w:pPr>
        <w:adjustRightInd w:val="0"/>
        <w:snapToGrid w:val="0"/>
        <w:ind w:firstLine="480" w:firstLineChars="200"/>
        <w:rPr>
          <w:rFonts w:hint="eastAsia" w:ascii="宋体" w:hAnsi="宋体" w:cs="宋体"/>
          <w:kern w:val="0"/>
          <w:sz w:val="24"/>
        </w:rPr>
      </w:pPr>
      <w:r>
        <w:rPr>
          <w:rFonts w:hint="eastAsia" w:ascii="宋体" w:hAnsi="宋体" w:cs="宋体"/>
          <w:kern w:val="0"/>
          <w:sz w:val="24"/>
        </w:rPr>
        <w:t>古典货币数量论，凯恩斯的货币需求理论，凯恩斯主义对凯恩斯货币需求理论的发展，现代货币数量论，开放经济中的货币需求、货币替代与资产替代，货币流通速度与货币的迷失。</w:t>
      </w:r>
    </w:p>
    <w:p>
      <w:pPr>
        <w:adjustRightInd w:val="0"/>
        <w:snapToGrid w:val="0"/>
        <w:ind w:firstLine="482" w:firstLineChars="200"/>
        <w:rPr>
          <w:rFonts w:hint="eastAsia" w:ascii="宋体" w:hAnsi="宋体" w:cs="宋体"/>
          <w:b/>
          <w:kern w:val="0"/>
          <w:sz w:val="24"/>
        </w:rPr>
      </w:pPr>
      <w:r>
        <w:rPr>
          <w:rFonts w:hint="eastAsia" w:ascii="宋体" w:hAnsi="宋体" w:cs="宋体"/>
          <w:b/>
          <w:kern w:val="0"/>
          <w:sz w:val="24"/>
        </w:rPr>
        <w:t>15.利率水平与利率结构</w:t>
      </w:r>
    </w:p>
    <w:p>
      <w:pPr>
        <w:adjustRightInd w:val="0"/>
        <w:snapToGrid w:val="0"/>
        <w:ind w:firstLine="480" w:firstLineChars="200"/>
        <w:rPr>
          <w:rFonts w:hint="eastAsia" w:ascii="宋体" w:hAnsi="宋体" w:cs="宋体"/>
          <w:kern w:val="0"/>
          <w:sz w:val="24"/>
        </w:rPr>
      </w:pPr>
      <w:r>
        <w:rPr>
          <w:rFonts w:hint="eastAsia" w:ascii="宋体" w:hAnsi="宋体" w:cs="宋体"/>
          <w:kern w:val="0"/>
          <w:sz w:val="24"/>
        </w:rPr>
        <w:t>利率总水平的决定，利率的风险结构，利率期限结构。</w:t>
      </w:r>
    </w:p>
    <w:p>
      <w:pPr>
        <w:adjustRightInd w:val="0"/>
        <w:snapToGrid w:val="0"/>
        <w:ind w:firstLine="482" w:firstLineChars="200"/>
        <w:rPr>
          <w:rFonts w:hint="eastAsia" w:ascii="宋体" w:hAnsi="宋体" w:cs="宋体"/>
          <w:b/>
          <w:kern w:val="0"/>
          <w:sz w:val="24"/>
        </w:rPr>
      </w:pPr>
      <w:r>
        <w:rPr>
          <w:rFonts w:hint="eastAsia" w:ascii="宋体" w:hAnsi="宋体" w:cs="宋体"/>
          <w:b/>
          <w:kern w:val="0"/>
          <w:sz w:val="24"/>
        </w:rPr>
        <w:t>16.物价水平:通货膨胀与通货紧缩</w:t>
      </w:r>
    </w:p>
    <w:p>
      <w:pPr>
        <w:adjustRightInd w:val="0"/>
        <w:snapToGrid w:val="0"/>
        <w:ind w:firstLine="480" w:firstLineChars="200"/>
        <w:rPr>
          <w:rFonts w:hint="eastAsia" w:ascii="宋体" w:hAnsi="宋体" w:cs="宋体"/>
          <w:kern w:val="0"/>
          <w:sz w:val="24"/>
        </w:rPr>
      </w:pPr>
      <w:r>
        <w:rPr>
          <w:rFonts w:hint="eastAsia" w:ascii="宋体" w:hAnsi="宋体" w:cs="宋体"/>
          <w:kern w:val="0"/>
          <w:sz w:val="24"/>
        </w:rPr>
        <w:t>物价总水平及其衡量，物价水平波动的经济影响，物价水平与就业，菲利普斯曲线，物价水平波动的原因，物价稳定政策。</w:t>
      </w:r>
    </w:p>
    <w:p>
      <w:pPr>
        <w:adjustRightInd w:val="0"/>
        <w:snapToGrid w:val="0"/>
        <w:ind w:firstLine="482" w:firstLineChars="200"/>
        <w:rPr>
          <w:rFonts w:hint="eastAsia" w:ascii="宋体" w:hAnsi="宋体" w:cs="宋体"/>
          <w:b/>
          <w:kern w:val="0"/>
          <w:sz w:val="24"/>
        </w:rPr>
      </w:pPr>
      <w:r>
        <w:rPr>
          <w:rFonts w:hint="eastAsia" w:ascii="宋体" w:hAnsi="宋体" w:cs="宋体"/>
          <w:b/>
          <w:kern w:val="0"/>
          <w:sz w:val="24"/>
        </w:rPr>
        <w:t>17.汇率的决定与汇率制度</w:t>
      </w:r>
    </w:p>
    <w:p>
      <w:pPr>
        <w:adjustRightInd w:val="0"/>
        <w:snapToGrid w:val="0"/>
        <w:ind w:firstLine="480" w:firstLineChars="200"/>
        <w:rPr>
          <w:rFonts w:hint="eastAsia" w:ascii="宋体" w:hAnsi="宋体" w:cs="宋体"/>
          <w:kern w:val="0"/>
          <w:sz w:val="24"/>
        </w:rPr>
      </w:pPr>
      <w:r>
        <w:rPr>
          <w:rFonts w:hint="eastAsia" w:ascii="宋体" w:hAnsi="宋体" w:cs="宋体"/>
          <w:kern w:val="0"/>
          <w:sz w:val="24"/>
        </w:rPr>
        <w:t>汇率波动的经济影响，汇率的决定，汇率制度，最优货币区。</w:t>
      </w:r>
    </w:p>
    <w:p>
      <w:pPr>
        <w:adjustRightInd w:val="0"/>
        <w:snapToGrid w:val="0"/>
        <w:ind w:firstLine="482" w:firstLineChars="200"/>
        <w:rPr>
          <w:rFonts w:hint="eastAsia" w:ascii="宋体" w:hAnsi="宋体" w:cs="宋体"/>
          <w:b/>
          <w:kern w:val="0"/>
          <w:sz w:val="24"/>
        </w:rPr>
      </w:pPr>
      <w:r>
        <w:rPr>
          <w:rFonts w:hint="eastAsia" w:ascii="宋体" w:hAnsi="宋体" w:cs="宋体"/>
          <w:b/>
          <w:kern w:val="0"/>
          <w:sz w:val="24"/>
        </w:rPr>
        <w:t>18.国际收支</w:t>
      </w:r>
    </w:p>
    <w:p>
      <w:pPr>
        <w:adjustRightInd w:val="0"/>
        <w:snapToGrid w:val="0"/>
        <w:ind w:firstLine="480" w:firstLineChars="200"/>
        <w:rPr>
          <w:rFonts w:hint="eastAsia" w:ascii="宋体" w:hAnsi="宋体" w:cs="宋体"/>
          <w:kern w:val="0"/>
          <w:sz w:val="24"/>
        </w:rPr>
      </w:pPr>
      <w:r>
        <w:rPr>
          <w:rFonts w:hint="eastAsia" w:ascii="宋体" w:hAnsi="宋体" w:cs="宋体"/>
          <w:kern w:val="0"/>
          <w:sz w:val="24"/>
        </w:rPr>
        <w:t>国际收支与国际收支平衡表，国际收支失衡，国际收支失衡的调整，汇率在国际收支调节中的作用，内外均衡的冲突与政策搭配。</w:t>
      </w:r>
    </w:p>
    <w:p>
      <w:pPr>
        <w:numPr>
          <w:ilvl w:val="0"/>
          <w:numId w:val="0"/>
        </w:numPr>
        <w:adjustRightInd w:val="0"/>
        <w:snapToGrid w:val="0"/>
        <w:ind w:firstLine="482" w:firstLineChars="200"/>
        <w:rPr>
          <w:rFonts w:hint="eastAsia" w:ascii="宋体" w:hAnsi="宋体" w:cs="宋体"/>
          <w:b/>
          <w:kern w:val="0"/>
          <w:sz w:val="24"/>
        </w:rPr>
      </w:pPr>
      <w:r>
        <w:rPr>
          <w:rFonts w:hint="eastAsia" w:ascii="宋体" w:hAnsi="宋体" w:cs="宋体"/>
          <w:b/>
          <w:kern w:val="0"/>
          <w:sz w:val="24"/>
          <w:lang w:val="en-US" w:eastAsia="zh-CN"/>
        </w:rPr>
        <w:t>19.</w:t>
      </w:r>
      <w:r>
        <w:rPr>
          <w:rFonts w:hint="eastAsia" w:ascii="宋体" w:hAnsi="宋体" w:cs="宋体"/>
          <w:b/>
          <w:kern w:val="0"/>
          <w:sz w:val="24"/>
        </w:rPr>
        <w:t>国民收入与产出的决定:IS-LM模型</w:t>
      </w:r>
    </w:p>
    <w:p>
      <w:pPr>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hint="eastAsia" w:ascii="宋体" w:hAnsi="宋体" w:cs="宋体"/>
          <w:kern w:val="0"/>
          <w:sz w:val="24"/>
        </w:rPr>
      </w:pPr>
      <w:r>
        <w:rPr>
          <w:rFonts w:hint="eastAsia" w:ascii="宋体" w:hAnsi="宋体" w:cs="宋体"/>
          <w:kern w:val="0"/>
          <w:sz w:val="24"/>
        </w:rPr>
        <w:t>总产出的决定，商品市场的均衡：</w:t>
      </w:r>
      <w:r>
        <w:rPr>
          <w:rFonts w:hint="eastAsia" w:ascii="宋体" w:hAnsi="宋体" w:cs="宋体"/>
          <w:color w:val="FF0000"/>
          <w:kern w:val="0"/>
          <w:sz w:val="24"/>
        </w:rPr>
        <w:t>IS曲线</w:t>
      </w:r>
      <w:r>
        <w:rPr>
          <w:rFonts w:hint="eastAsia" w:ascii="宋体" w:hAnsi="宋体" w:cs="宋体"/>
          <w:kern w:val="0"/>
          <w:sz w:val="24"/>
        </w:rPr>
        <w:t>，货币市场的均衡：LM曲线，均衡国民收入的决定与自动调整机制，IS-LM模型中的财政政策与货币政策。</w:t>
      </w:r>
    </w:p>
    <w:p>
      <w:pPr>
        <w:adjustRightInd w:val="0"/>
        <w:snapToGrid w:val="0"/>
        <w:ind w:firstLine="482" w:firstLineChars="200"/>
        <w:rPr>
          <w:rFonts w:hint="eastAsia" w:ascii="宋体" w:hAnsi="宋体" w:cs="宋体"/>
          <w:b/>
          <w:kern w:val="0"/>
          <w:sz w:val="24"/>
        </w:rPr>
      </w:pPr>
      <w:r>
        <w:rPr>
          <w:rFonts w:hint="eastAsia" w:ascii="宋体" w:hAnsi="宋体" w:cs="宋体"/>
          <w:b/>
          <w:kern w:val="0"/>
          <w:sz w:val="24"/>
        </w:rPr>
        <w:t>20.中央银行货币政策操作</w:t>
      </w:r>
    </w:p>
    <w:p>
      <w:pPr>
        <w:adjustRightInd w:val="0"/>
        <w:snapToGrid w:val="0"/>
        <w:ind w:firstLine="480" w:firstLineChars="200"/>
        <w:rPr>
          <w:rFonts w:hint="eastAsia" w:ascii="宋体" w:hAnsi="宋体" w:cs="宋体"/>
          <w:kern w:val="0"/>
          <w:sz w:val="24"/>
        </w:rPr>
      </w:pPr>
      <w:r>
        <w:rPr>
          <w:rFonts w:hint="eastAsia" w:ascii="宋体" w:hAnsi="宋体" w:cs="宋体"/>
          <w:kern w:val="0"/>
          <w:sz w:val="24"/>
        </w:rPr>
        <w:t>货币政策的终极目标，货币政策操作工具，货币政策的手段变量与中介目标，货币政策传导机制，货币政策效果，货币政策哲学。</w:t>
      </w:r>
    </w:p>
    <w:p>
      <w:pPr>
        <w:adjustRightInd w:val="0"/>
        <w:snapToGrid w:val="0"/>
        <w:rPr>
          <w:rFonts w:hint="eastAsia" w:ascii="宋体" w:hAnsi="宋体" w:cs="宋体"/>
          <w:b/>
          <w:kern w:val="0"/>
          <w:sz w:val="24"/>
        </w:rPr>
      </w:pPr>
      <w:r>
        <w:rPr>
          <w:rFonts w:hint="eastAsia" w:ascii="宋体" w:hAnsi="宋体" w:cs="宋体"/>
          <w:b/>
          <w:kern w:val="0"/>
          <w:sz w:val="24"/>
        </w:rPr>
        <w:t>四、金融发展与稳定</w:t>
      </w:r>
    </w:p>
    <w:p>
      <w:pPr>
        <w:adjustRightInd w:val="0"/>
        <w:snapToGrid w:val="0"/>
        <w:ind w:firstLine="482" w:firstLineChars="200"/>
        <w:rPr>
          <w:rFonts w:hint="eastAsia" w:ascii="宋体" w:hAnsi="宋体" w:cs="宋体"/>
          <w:b/>
          <w:kern w:val="0"/>
          <w:sz w:val="24"/>
        </w:rPr>
      </w:pPr>
      <w:r>
        <w:rPr>
          <w:rFonts w:hint="eastAsia" w:ascii="宋体" w:hAnsi="宋体" w:cs="宋体"/>
          <w:b/>
          <w:kern w:val="0"/>
          <w:sz w:val="24"/>
        </w:rPr>
        <w:t>21.金融发展与金融结构</w:t>
      </w:r>
    </w:p>
    <w:p>
      <w:pPr>
        <w:adjustRightInd w:val="0"/>
        <w:snapToGrid w:val="0"/>
        <w:ind w:firstLine="480" w:firstLineChars="200"/>
        <w:rPr>
          <w:rFonts w:hint="eastAsia" w:ascii="宋体" w:hAnsi="宋体" w:cs="宋体"/>
          <w:kern w:val="0"/>
          <w:sz w:val="24"/>
        </w:rPr>
      </w:pPr>
      <w:r>
        <w:rPr>
          <w:rFonts w:hint="eastAsia" w:ascii="宋体" w:hAnsi="宋体" w:cs="宋体"/>
          <w:kern w:val="0"/>
          <w:sz w:val="24"/>
        </w:rPr>
        <w:t>金融发展，金融发展中的金融相关比率，金融发展的路径，现代金融结构，金融发展中的金融全球化。</w:t>
      </w:r>
    </w:p>
    <w:p>
      <w:pPr>
        <w:adjustRightInd w:val="0"/>
        <w:snapToGrid w:val="0"/>
        <w:ind w:firstLine="482" w:firstLineChars="200"/>
        <w:rPr>
          <w:rFonts w:hint="eastAsia" w:ascii="宋体" w:hAnsi="宋体" w:eastAsia="宋体" w:cs="宋体"/>
          <w:b/>
          <w:kern w:val="0"/>
          <w:sz w:val="24"/>
          <w:lang w:val="en-US" w:eastAsia="zh-CN"/>
        </w:rPr>
      </w:pPr>
      <w:r>
        <w:rPr>
          <w:rFonts w:hint="eastAsia" w:ascii="宋体" w:hAnsi="宋体" w:cs="宋体"/>
          <w:b/>
          <w:kern w:val="0"/>
          <w:sz w:val="24"/>
        </w:rPr>
        <w:t>22.金融深化与金融自由</w:t>
      </w:r>
      <w:r>
        <w:rPr>
          <w:rFonts w:hint="eastAsia" w:ascii="宋体" w:hAnsi="宋体" w:cs="宋体"/>
          <w:b/>
          <w:kern w:val="0"/>
          <w:sz w:val="24"/>
          <w:lang w:val="en-US" w:eastAsia="zh-CN"/>
        </w:rPr>
        <w:t>化</w:t>
      </w:r>
    </w:p>
    <w:p>
      <w:pPr>
        <w:adjustRightInd w:val="0"/>
        <w:snapToGrid w:val="0"/>
        <w:ind w:firstLine="480" w:firstLineChars="200"/>
        <w:rPr>
          <w:rFonts w:hint="eastAsia" w:ascii="宋体" w:hAnsi="宋体" w:cs="宋体"/>
          <w:kern w:val="0"/>
          <w:sz w:val="24"/>
        </w:rPr>
      </w:pPr>
      <w:r>
        <w:rPr>
          <w:rFonts w:hint="eastAsia" w:ascii="宋体" w:hAnsi="宋体" w:cs="宋体"/>
          <w:kern w:val="0"/>
          <w:sz w:val="24"/>
        </w:rPr>
        <w:t>发展中国家金融制度的特征及金融抑制，货币与资本的互补性、储蓄与增长的良性循环，金融自由化。</w:t>
      </w:r>
    </w:p>
    <w:p>
      <w:pPr>
        <w:adjustRightInd w:val="0"/>
        <w:snapToGrid w:val="0"/>
        <w:ind w:firstLine="482" w:firstLineChars="200"/>
        <w:rPr>
          <w:rFonts w:hint="eastAsia" w:ascii="宋体" w:hAnsi="宋体" w:cs="宋体"/>
          <w:b/>
          <w:kern w:val="0"/>
          <w:sz w:val="24"/>
        </w:rPr>
      </w:pPr>
      <w:r>
        <w:rPr>
          <w:rFonts w:hint="eastAsia" w:ascii="宋体" w:hAnsi="宋体" w:cs="宋体"/>
          <w:b/>
          <w:kern w:val="0"/>
          <w:sz w:val="24"/>
        </w:rPr>
        <w:t>23.金融危机</w:t>
      </w:r>
    </w:p>
    <w:p>
      <w:pPr>
        <w:adjustRightInd w:val="0"/>
        <w:snapToGrid w:val="0"/>
        <w:ind w:firstLine="480" w:firstLineChars="200"/>
        <w:rPr>
          <w:rFonts w:hint="eastAsia" w:ascii="宋体" w:hAnsi="宋体" w:cs="宋体"/>
          <w:kern w:val="0"/>
          <w:sz w:val="24"/>
        </w:rPr>
      </w:pPr>
      <w:r>
        <w:rPr>
          <w:rFonts w:hint="eastAsia" w:ascii="宋体" w:hAnsi="宋体" w:cs="宋体"/>
          <w:kern w:val="0"/>
          <w:sz w:val="24"/>
        </w:rPr>
        <w:t>金融危机定义，金融脆弱性与金融泡沫，金融</w:t>
      </w:r>
      <w:r>
        <w:rPr>
          <w:rFonts w:hint="eastAsia" w:ascii="宋体" w:hAnsi="宋体" w:cs="宋体"/>
          <w:kern w:val="0"/>
          <w:sz w:val="24"/>
          <w:lang w:val="en-US" w:eastAsia="zh-CN"/>
        </w:rPr>
        <w:t>不</w:t>
      </w:r>
      <w:r>
        <w:rPr>
          <w:rFonts w:hint="eastAsia" w:ascii="宋体" w:hAnsi="宋体" w:cs="宋体"/>
          <w:kern w:val="0"/>
          <w:sz w:val="24"/>
        </w:rPr>
        <w:t>稳定模型与金融危机的形成过程，货币危机理论，金融危机的防范。</w:t>
      </w:r>
    </w:p>
    <w:p>
      <w:pPr>
        <w:adjustRightInd w:val="0"/>
        <w:snapToGrid w:val="0"/>
        <w:ind w:firstLine="482" w:firstLineChars="200"/>
        <w:rPr>
          <w:rFonts w:hint="eastAsia" w:ascii="宋体" w:hAnsi="宋体" w:cs="宋体"/>
          <w:b/>
          <w:kern w:val="0"/>
          <w:sz w:val="24"/>
        </w:rPr>
      </w:pPr>
      <w:r>
        <w:rPr>
          <w:rFonts w:hint="eastAsia" w:ascii="宋体" w:hAnsi="宋体" w:cs="宋体"/>
          <w:b/>
          <w:kern w:val="0"/>
          <w:sz w:val="24"/>
        </w:rPr>
        <w:t>24.金融监管</w:t>
      </w:r>
    </w:p>
    <w:p>
      <w:pPr>
        <w:adjustRightInd w:val="0"/>
        <w:snapToGrid w:val="0"/>
        <w:ind w:firstLine="480" w:firstLineChars="200"/>
        <w:rPr>
          <w:rFonts w:ascii="宋体" w:hAnsi="宋体"/>
          <w:b/>
          <w:bCs/>
          <w:i/>
          <w:iCs/>
          <w:szCs w:val="21"/>
          <w:u w:val="single"/>
        </w:rPr>
      </w:pPr>
      <w:r>
        <w:rPr>
          <w:rFonts w:hint="eastAsia" w:ascii="宋体" w:hAnsi="宋体" w:cs="宋体"/>
          <w:kern w:val="0"/>
          <w:sz w:val="24"/>
        </w:rPr>
        <w:t>金融监管的必要性，银行业的监管，资本市场的监管，保险监管，金融监管体</w:t>
      </w:r>
      <w:r>
        <w:rPr>
          <w:rFonts w:hint="eastAsia" w:ascii="宋体" w:hAnsi="宋体" w:cs="宋体"/>
          <w:iCs/>
          <w:kern w:val="0"/>
          <w:sz w:val="24"/>
        </w:rPr>
        <w:t>制的发展。</w:t>
      </w:r>
    </w:p>
    <w:sectPr>
      <w:headerReference r:id="rId3" w:type="default"/>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2010609030101010101"/>
    <w:charset w:val="86"/>
    <w:family w:val="modern"/>
    <w:pitch w:val="default"/>
    <w:sig w:usb0="00000001" w:usb1="080E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7F67E5"/>
    <w:multiLevelType w:val="multilevel"/>
    <w:tmpl w:val="117F67E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23594DB9"/>
    <w:multiLevelType w:val="multilevel"/>
    <w:tmpl w:val="23594DB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hYzVmZTNjMjdlOWZiNTRjYTVmNjc1M2Q1OTA0NzYifQ=="/>
  </w:docVars>
  <w:rsids>
    <w:rsidRoot w:val="00A6368D"/>
    <w:rsid w:val="0000471A"/>
    <w:rsid w:val="00010C82"/>
    <w:rsid w:val="00013CD4"/>
    <w:rsid w:val="000167F5"/>
    <w:rsid w:val="00022A4D"/>
    <w:rsid w:val="00026145"/>
    <w:rsid w:val="000312A2"/>
    <w:rsid w:val="000455A3"/>
    <w:rsid w:val="00050744"/>
    <w:rsid w:val="000648C9"/>
    <w:rsid w:val="00072A6F"/>
    <w:rsid w:val="00080391"/>
    <w:rsid w:val="00085D6C"/>
    <w:rsid w:val="000963F4"/>
    <w:rsid w:val="00096F8C"/>
    <w:rsid w:val="00097E2E"/>
    <w:rsid w:val="000A0965"/>
    <w:rsid w:val="000A32C6"/>
    <w:rsid w:val="000B089F"/>
    <w:rsid w:val="000B0BB8"/>
    <w:rsid w:val="000B4415"/>
    <w:rsid w:val="000C4A94"/>
    <w:rsid w:val="000D4CDE"/>
    <w:rsid w:val="000F5068"/>
    <w:rsid w:val="001048A2"/>
    <w:rsid w:val="0011592E"/>
    <w:rsid w:val="00131793"/>
    <w:rsid w:val="00153DE9"/>
    <w:rsid w:val="0017011F"/>
    <w:rsid w:val="00170AAF"/>
    <w:rsid w:val="00172A33"/>
    <w:rsid w:val="00193AE5"/>
    <w:rsid w:val="001A69F7"/>
    <w:rsid w:val="001B5D4A"/>
    <w:rsid w:val="001B647E"/>
    <w:rsid w:val="001D3D70"/>
    <w:rsid w:val="001E4112"/>
    <w:rsid w:val="001F3EBC"/>
    <w:rsid w:val="001F5D7A"/>
    <w:rsid w:val="00202908"/>
    <w:rsid w:val="00203026"/>
    <w:rsid w:val="00213A60"/>
    <w:rsid w:val="002443C6"/>
    <w:rsid w:val="00244B28"/>
    <w:rsid w:val="00247AE8"/>
    <w:rsid w:val="002520DA"/>
    <w:rsid w:val="00256AC9"/>
    <w:rsid w:val="002579A8"/>
    <w:rsid w:val="00264A24"/>
    <w:rsid w:val="00266982"/>
    <w:rsid w:val="002802AF"/>
    <w:rsid w:val="00285414"/>
    <w:rsid w:val="00285C62"/>
    <w:rsid w:val="00290471"/>
    <w:rsid w:val="00295B61"/>
    <w:rsid w:val="002B0C4C"/>
    <w:rsid w:val="002B10BF"/>
    <w:rsid w:val="002B2275"/>
    <w:rsid w:val="002D0AAB"/>
    <w:rsid w:val="002E244D"/>
    <w:rsid w:val="002E3941"/>
    <w:rsid w:val="002E442B"/>
    <w:rsid w:val="002F7161"/>
    <w:rsid w:val="00302675"/>
    <w:rsid w:val="00304862"/>
    <w:rsid w:val="00312A5A"/>
    <w:rsid w:val="00346F6D"/>
    <w:rsid w:val="00355E18"/>
    <w:rsid w:val="00362FF5"/>
    <w:rsid w:val="0038199A"/>
    <w:rsid w:val="00384C93"/>
    <w:rsid w:val="00393F84"/>
    <w:rsid w:val="003956AA"/>
    <w:rsid w:val="00396A5C"/>
    <w:rsid w:val="003A0391"/>
    <w:rsid w:val="003A36E0"/>
    <w:rsid w:val="003A392E"/>
    <w:rsid w:val="003A773D"/>
    <w:rsid w:val="003B2C88"/>
    <w:rsid w:val="003B2E0B"/>
    <w:rsid w:val="003B6C41"/>
    <w:rsid w:val="003C6364"/>
    <w:rsid w:val="003C729E"/>
    <w:rsid w:val="003D032F"/>
    <w:rsid w:val="003D1F25"/>
    <w:rsid w:val="003E3D78"/>
    <w:rsid w:val="003F69C0"/>
    <w:rsid w:val="004104A9"/>
    <w:rsid w:val="004128CA"/>
    <w:rsid w:val="004161FE"/>
    <w:rsid w:val="00417627"/>
    <w:rsid w:val="004303B4"/>
    <w:rsid w:val="0045657E"/>
    <w:rsid w:val="00457886"/>
    <w:rsid w:val="00475290"/>
    <w:rsid w:val="00477BB2"/>
    <w:rsid w:val="0048560A"/>
    <w:rsid w:val="00495D89"/>
    <w:rsid w:val="004A4B45"/>
    <w:rsid w:val="004C3B56"/>
    <w:rsid w:val="004C4511"/>
    <w:rsid w:val="004D1C46"/>
    <w:rsid w:val="004D4D5F"/>
    <w:rsid w:val="004D7AAC"/>
    <w:rsid w:val="004E67AA"/>
    <w:rsid w:val="004F0884"/>
    <w:rsid w:val="004F1116"/>
    <w:rsid w:val="0050575C"/>
    <w:rsid w:val="005058E6"/>
    <w:rsid w:val="00505B19"/>
    <w:rsid w:val="00505C89"/>
    <w:rsid w:val="005144D8"/>
    <w:rsid w:val="00523C3E"/>
    <w:rsid w:val="00540CBB"/>
    <w:rsid w:val="005564FC"/>
    <w:rsid w:val="0055728B"/>
    <w:rsid w:val="00562E8B"/>
    <w:rsid w:val="0056616B"/>
    <w:rsid w:val="005734C5"/>
    <w:rsid w:val="00582BF7"/>
    <w:rsid w:val="005860F9"/>
    <w:rsid w:val="00586985"/>
    <w:rsid w:val="00587D37"/>
    <w:rsid w:val="005A7023"/>
    <w:rsid w:val="005B455C"/>
    <w:rsid w:val="005C2732"/>
    <w:rsid w:val="005C57F1"/>
    <w:rsid w:val="005E1A77"/>
    <w:rsid w:val="005E7C9F"/>
    <w:rsid w:val="005F4ACF"/>
    <w:rsid w:val="0060664E"/>
    <w:rsid w:val="00606B30"/>
    <w:rsid w:val="00620AC5"/>
    <w:rsid w:val="00623DE3"/>
    <w:rsid w:val="00625D42"/>
    <w:rsid w:val="006403C7"/>
    <w:rsid w:val="00646171"/>
    <w:rsid w:val="00666C11"/>
    <w:rsid w:val="006733AE"/>
    <w:rsid w:val="00676F6F"/>
    <w:rsid w:val="006770A4"/>
    <w:rsid w:val="00682472"/>
    <w:rsid w:val="00685101"/>
    <w:rsid w:val="00687345"/>
    <w:rsid w:val="0069014B"/>
    <w:rsid w:val="00696436"/>
    <w:rsid w:val="006A1179"/>
    <w:rsid w:val="006B2940"/>
    <w:rsid w:val="006C3A35"/>
    <w:rsid w:val="006C46B9"/>
    <w:rsid w:val="006C5AD3"/>
    <w:rsid w:val="006D0B52"/>
    <w:rsid w:val="006E404F"/>
    <w:rsid w:val="006F3BD2"/>
    <w:rsid w:val="006F4AD1"/>
    <w:rsid w:val="00705F16"/>
    <w:rsid w:val="00706301"/>
    <w:rsid w:val="00706437"/>
    <w:rsid w:val="00712CCA"/>
    <w:rsid w:val="00730591"/>
    <w:rsid w:val="007414E3"/>
    <w:rsid w:val="0076001D"/>
    <w:rsid w:val="00763BE8"/>
    <w:rsid w:val="0076485A"/>
    <w:rsid w:val="0077165A"/>
    <w:rsid w:val="007742AD"/>
    <w:rsid w:val="00774922"/>
    <w:rsid w:val="0077766A"/>
    <w:rsid w:val="00782CBD"/>
    <w:rsid w:val="00794597"/>
    <w:rsid w:val="007A7D6A"/>
    <w:rsid w:val="007D22E9"/>
    <w:rsid w:val="007E21EB"/>
    <w:rsid w:val="007E2930"/>
    <w:rsid w:val="007E38FB"/>
    <w:rsid w:val="00803769"/>
    <w:rsid w:val="0080596E"/>
    <w:rsid w:val="00826F5C"/>
    <w:rsid w:val="008327E1"/>
    <w:rsid w:val="0084345C"/>
    <w:rsid w:val="00846E87"/>
    <w:rsid w:val="00880E94"/>
    <w:rsid w:val="00881AF8"/>
    <w:rsid w:val="00881D15"/>
    <w:rsid w:val="008B1120"/>
    <w:rsid w:val="008B3ABF"/>
    <w:rsid w:val="008B6C62"/>
    <w:rsid w:val="008C7529"/>
    <w:rsid w:val="008D0921"/>
    <w:rsid w:val="008D6231"/>
    <w:rsid w:val="008F2B90"/>
    <w:rsid w:val="00900784"/>
    <w:rsid w:val="0090314F"/>
    <w:rsid w:val="00905ACD"/>
    <w:rsid w:val="009100AE"/>
    <w:rsid w:val="00915F50"/>
    <w:rsid w:val="0091769F"/>
    <w:rsid w:val="009259FA"/>
    <w:rsid w:val="009260CF"/>
    <w:rsid w:val="00926783"/>
    <w:rsid w:val="00930EED"/>
    <w:rsid w:val="009352B9"/>
    <w:rsid w:val="009355AA"/>
    <w:rsid w:val="00936E0B"/>
    <w:rsid w:val="00944414"/>
    <w:rsid w:val="00947249"/>
    <w:rsid w:val="00955177"/>
    <w:rsid w:val="00960320"/>
    <w:rsid w:val="009802BF"/>
    <w:rsid w:val="009824AF"/>
    <w:rsid w:val="00985DE1"/>
    <w:rsid w:val="00986D71"/>
    <w:rsid w:val="009912A8"/>
    <w:rsid w:val="009A1C46"/>
    <w:rsid w:val="009B2457"/>
    <w:rsid w:val="009B27F7"/>
    <w:rsid w:val="009D691C"/>
    <w:rsid w:val="009E19AF"/>
    <w:rsid w:val="009E3C0C"/>
    <w:rsid w:val="009F39E3"/>
    <w:rsid w:val="009F3BFB"/>
    <w:rsid w:val="009F7C28"/>
    <w:rsid w:val="00A00E5D"/>
    <w:rsid w:val="00A02D82"/>
    <w:rsid w:val="00A15533"/>
    <w:rsid w:val="00A25AD5"/>
    <w:rsid w:val="00A309E6"/>
    <w:rsid w:val="00A30F52"/>
    <w:rsid w:val="00A37DED"/>
    <w:rsid w:val="00A439E1"/>
    <w:rsid w:val="00A501E0"/>
    <w:rsid w:val="00A6368D"/>
    <w:rsid w:val="00A667E7"/>
    <w:rsid w:val="00A700F4"/>
    <w:rsid w:val="00A81D6B"/>
    <w:rsid w:val="00A85586"/>
    <w:rsid w:val="00A86BE1"/>
    <w:rsid w:val="00A87B29"/>
    <w:rsid w:val="00A91AAB"/>
    <w:rsid w:val="00AC1E3F"/>
    <w:rsid w:val="00AC39AC"/>
    <w:rsid w:val="00AC3CE2"/>
    <w:rsid w:val="00AD027A"/>
    <w:rsid w:val="00AD2EE3"/>
    <w:rsid w:val="00AD4F63"/>
    <w:rsid w:val="00AE0728"/>
    <w:rsid w:val="00AE3895"/>
    <w:rsid w:val="00AF3AB8"/>
    <w:rsid w:val="00AF3D06"/>
    <w:rsid w:val="00B123CD"/>
    <w:rsid w:val="00B123E2"/>
    <w:rsid w:val="00B26016"/>
    <w:rsid w:val="00B305DB"/>
    <w:rsid w:val="00B32A1A"/>
    <w:rsid w:val="00B4187A"/>
    <w:rsid w:val="00B56980"/>
    <w:rsid w:val="00B64BD3"/>
    <w:rsid w:val="00B932D7"/>
    <w:rsid w:val="00B9435B"/>
    <w:rsid w:val="00B96A54"/>
    <w:rsid w:val="00BB1487"/>
    <w:rsid w:val="00BB7659"/>
    <w:rsid w:val="00BD0672"/>
    <w:rsid w:val="00BD10FA"/>
    <w:rsid w:val="00BD44B1"/>
    <w:rsid w:val="00BD5DD6"/>
    <w:rsid w:val="00BD73A1"/>
    <w:rsid w:val="00BD7942"/>
    <w:rsid w:val="00BE2E6B"/>
    <w:rsid w:val="00BE3C98"/>
    <w:rsid w:val="00BF2754"/>
    <w:rsid w:val="00BF283F"/>
    <w:rsid w:val="00BF2AF4"/>
    <w:rsid w:val="00C04511"/>
    <w:rsid w:val="00C05434"/>
    <w:rsid w:val="00C10081"/>
    <w:rsid w:val="00C12B03"/>
    <w:rsid w:val="00C17A4D"/>
    <w:rsid w:val="00C22C96"/>
    <w:rsid w:val="00C27677"/>
    <w:rsid w:val="00C32D11"/>
    <w:rsid w:val="00C3663A"/>
    <w:rsid w:val="00C42322"/>
    <w:rsid w:val="00C52EED"/>
    <w:rsid w:val="00C54277"/>
    <w:rsid w:val="00C6297D"/>
    <w:rsid w:val="00C63D9D"/>
    <w:rsid w:val="00C65C6F"/>
    <w:rsid w:val="00C91D80"/>
    <w:rsid w:val="00CB2AE8"/>
    <w:rsid w:val="00CB5997"/>
    <w:rsid w:val="00CB70F9"/>
    <w:rsid w:val="00CC0190"/>
    <w:rsid w:val="00CE5E84"/>
    <w:rsid w:val="00CF38D1"/>
    <w:rsid w:val="00CF6F0D"/>
    <w:rsid w:val="00D03191"/>
    <w:rsid w:val="00D10DC8"/>
    <w:rsid w:val="00D1235E"/>
    <w:rsid w:val="00D23665"/>
    <w:rsid w:val="00D23A98"/>
    <w:rsid w:val="00D2569E"/>
    <w:rsid w:val="00D375AF"/>
    <w:rsid w:val="00D60228"/>
    <w:rsid w:val="00D6428C"/>
    <w:rsid w:val="00D866E0"/>
    <w:rsid w:val="00D92456"/>
    <w:rsid w:val="00D93804"/>
    <w:rsid w:val="00DB2B54"/>
    <w:rsid w:val="00DC5075"/>
    <w:rsid w:val="00DC551B"/>
    <w:rsid w:val="00DC7D3E"/>
    <w:rsid w:val="00DD0B07"/>
    <w:rsid w:val="00DD580B"/>
    <w:rsid w:val="00DD7111"/>
    <w:rsid w:val="00DE387F"/>
    <w:rsid w:val="00DE46C2"/>
    <w:rsid w:val="00DE56F2"/>
    <w:rsid w:val="00DE58C0"/>
    <w:rsid w:val="00E03DAD"/>
    <w:rsid w:val="00E064FF"/>
    <w:rsid w:val="00E12440"/>
    <w:rsid w:val="00E21015"/>
    <w:rsid w:val="00E23405"/>
    <w:rsid w:val="00E26DAD"/>
    <w:rsid w:val="00E516CC"/>
    <w:rsid w:val="00E53758"/>
    <w:rsid w:val="00E647DF"/>
    <w:rsid w:val="00E76057"/>
    <w:rsid w:val="00E77911"/>
    <w:rsid w:val="00E8054C"/>
    <w:rsid w:val="00E9464C"/>
    <w:rsid w:val="00EB019E"/>
    <w:rsid w:val="00EB1497"/>
    <w:rsid w:val="00EB1C75"/>
    <w:rsid w:val="00EB3031"/>
    <w:rsid w:val="00EC277B"/>
    <w:rsid w:val="00EC69B8"/>
    <w:rsid w:val="00ED6409"/>
    <w:rsid w:val="00ED66C2"/>
    <w:rsid w:val="00EE28ED"/>
    <w:rsid w:val="00EE7C64"/>
    <w:rsid w:val="00EF5D84"/>
    <w:rsid w:val="00F0751C"/>
    <w:rsid w:val="00F178ED"/>
    <w:rsid w:val="00F20FF4"/>
    <w:rsid w:val="00F2614A"/>
    <w:rsid w:val="00F42D1F"/>
    <w:rsid w:val="00F61341"/>
    <w:rsid w:val="00F70093"/>
    <w:rsid w:val="00F7196A"/>
    <w:rsid w:val="00F71C43"/>
    <w:rsid w:val="00F932F9"/>
    <w:rsid w:val="00FB088E"/>
    <w:rsid w:val="00FB26D3"/>
    <w:rsid w:val="00FB58B2"/>
    <w:rsid w:val="00FC309F"/>
    <w:rsid w:val="00FC5CBA"/>
    <w:rsid w:val="00FD059D"/>
    <w:rsid w:val="00FD7845"/>
    <w:rsid w:val="01395070"/>
    <w:rsid w:val="027C3466"/>
    <w:rsid w:val="02CF76F3"/>
    <w:rsid w:val="04801DB9"/>
    <w:rsid w:val="05FA21CE"/>
    <w:rsid w:val="068A62C2"/>
    <w:rsid w:val="06A72A7B"/>
    <w:rsid w:val="083E2F6B"/>
    <w:rsid w:val="086F03EA"/>
    <w:rsid w:val="08E6673B"/>
    <w:rsid w:val="09152988"/>
    <w:rsid w:val="095F13EB"/>
    <w:rsid w:val="09FB7366"/>
    <w:rsid w:val="0A92134D"/>
    <w:rsid w:val="0ABB6AF5"/>
    <w:rsid w:val="0AE16BF4"/>
    <w:rsid w:val="0C1C7A68"/>
    <w:rsid w:val="0CD378C9"/>
    <w:rsid w:val="0D307327"/>
    <w:rsid w:val="0E5453F1"/>
    <w:rsid w:val="0F890F70"/>
    <w:rsid w:val="118457B4"/>
    <w:rsid w:val="123E0EE0"/>
    <w:rsid w:val="14B06F9F"/>
    <w:rsid w:val="14CF5677"/>
    <w:rsid w:val="15D867AD"/>
    <w:rsid w:val="177A5D5C"/>
    <w:rsid w:val="177C5629"/>
    <w:rsid w:val="19A83BEE"/>
    <w:rsid w:val="19E313B9"/>
    <w:rsid w:val="1C2D24B9"/>
    <w:rsid w:val="1DC22A32"/>
    <w:rsid w:val="1E3200E8"/>
    <w:rsid w:val="1F9D3BE0"/>
    <w:rsid w:val="22EC1146"/>
    <w:rsid w:val="241E5CD3"/>
    <w:rsid w:val="25100BD7"/>
    <w:rsid w:val="260809E9"/>
    <w:rsid w:val="27AC35F6"/>
    <w:rsid w:val="28E13773"/>
    <w:rsid w:val="2BAC0223"/>
    <w:rsid w:val="2C4464F3"/>
    <w:rsid w:val="2D2D63E2"/>
    <w:rsid w:val="303F76FD"/>
    <w:rsid w:val="30536D05"/>
    <w:rsid w:val="306A22A0"/>
    <w:rsid w:val="31E35E95"/>
    <w:rsid w:val="3203475A"/>
    <w:rsid w:val="34457C28"/>
    <w:rsid w:val="35956011"/>
    <w:rsid w:val="36913297"/>
    <w:rsid w:val="37103BA1"/>
    <w:rsid w:val="38422853"/>
    <w:rsid w:val="38904EF8"/>
    <w:rsid w:val="39C258E3"/>
    <w:rsid w:val="39CA4AFD"/>
    <w:rsid w:val="3A43603C"/>
    <w:rsid w:val="3AEF17EB"/>
    <w:rsid w:val="3D141416"/>
    <w:rsid w:val="3D9B6C12"/>
    <w:rsid w:val="3E9213B9"/>
    <w:rsid w:val="405A0106"/>
    <w:rsid w:val="406152F5"/>
    <w:rsid w:val="432C5897"/>
    <w:rsid w:val="43A55671"/>
    <w:rsid w:val="43B65A7F"/>
    <w:rsid w:val="43E072C8"/>
    <w:rsid w:val="43FA3D4F"/>
    <w:rsid w:val="450B3BFA"/>
    <w:rsid w:val="45F96148"/>
    <w:rsid w:val="4A8F2BD7"/>
    <w:rsid w:val="4BBE5D73"/>
    <w:rsid w:val="4E3917D8"/>
    <w:rsid w:val="4E7C2085"/>
    <w:rsid w:val="4FD34B00"/>
    <w:rsid w:val="51A52890"/>
    <w:rsid w:val="53606C9E"/>
    <w:rsid w:val="53E421E6"/>
    <w:rsid w:val="56583802"/>
    <w:rsid w:val="574B4E5A"/>
    <w:rsid w:val="58993AA1"/>
    <w:rsid w:val="598A738C"/>
    <w:rsid w:val="59D6605E"/>
    <w:rsid w:val="5AE1391E"/>
    <w:rsid w:val="5BD13050"/>
    <w:rsid w:val="5D0F3F15"/>
    <w:rsid w:val="5D1F428F"/>
    <w:rsid w:val="5D7E2D63"/>
    <w:rsid w:val="5DCD3CEB"/>
    <w:rsid w:val="5E1D7C6D"/>
    <w:rsid w:val="60435896"/>
    <w:rsid w:val="6106010C"/>
    <w:rsid w:val="64116858"/>
    <w:rsid w:val="64550596"/>
    <w:rsid w:val="660A50A8"/>
    <w:rsid w:val="66185DCA"/>
    <w:rsid w:val="66E53E53"/>
    <w:rsid w:val="6B2A00D0"/>
    <w:rsid w:val="6D765805"/>
    <w:rsid w:val="6F1C23DC"/>
    <w:rsid w:val="6FA04DBB"/>
    <w:rsid w:val="71520337"/>
    <w:rsid w:val="723D48CE"/>
    <w:rsid w:val="725C407F"/>
    <w:rsid w:val="74512B28"/>
    <w:rsid w:val="74E61757"/>
    <w:rsid w:val="75417610"/>
    <w:rsid w:val="75683D77"/>
    <w:rsid w:val="77A15EDE"/>
    <w:rsid w:val="79F226B7"/>
    <w:rsid w:val="7D024630"/>
    <w:rsid w:val="7DE40569"/>
    <w:rsid w:val="7DE66D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iPriority w:val="0"/>
  </w:style>
  <w:style w:type="table" w:default="1" w:styleId="8">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8"/>
      <w:tblCellMar>
        <w:top w:w="0" w:type="dxa"/>
        <w:left w:w="108" w:type="dxa"/>
        <w:bottom w:w="0" w:type="dxa"/>
        <w:right w:w="108" w:type="dxa"/>
      </w:tblCellMar>
    </w:tblPr>
  </w:style>
  <w:style w:type="paragraph" w:styleId="3">
    <w:name w:val="Body Text Indent 2"/>
    <w:basedOn w:val="1"/>
    <w:uiPriority w:val="0"/>
    <w:pPr>
      <w:spacing w:after="120" w:line="480" w:lineRule="auto"/>
      <w:ind w:left="420" w:leftChars="200"/>
    </w:pPr>
  </w:style>
  <w:style w:type="paragraph" w:styleId="4">
    <w:name w:val="Balloon Text"/>
    <w:basedOn w:val="1"/>
    <w:semiHidden/>
    <w:uiPriority w:val="0"/>
    <w:rPr>
      <w:sz w:val="18"/>
      <w:szCs w:val="18"/>
    </w:rPr>
  </w:style>
  <w:style w:type="paragraph" w:styleId="5">
    <w:name w:val="footer"/>
    <w:basedOn w:val="1"/>
    <w:link w:val="12"/>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uiPriority w:val="0"/>
    <w:rPr>
      <w:color w:val="0000FF"/>
      <w:u w:val="single"/>
    </w:rPr>
  </w:style>
  <w:style w:type="character" w:customStyle="1" w:styleId="12">
    <w:name w:val="Footer Char"/>
    <w:link w:val="5"/>
    <w:uiPriority w:val="0"/>
    <w:rPr>
      <w:kern w:val="2"/>
      <w:sz w:val="18"/>
      <w:szCs w:val="18"/>
    </w:rPr>
  </w:style>
  <w:style w:type="character" w:customStyle="1" w:styleId="13">
    <w:name w:val="Header Char"/>
    <w:link w:val="6"/>
    <w:uiPriority w:val="0"/>
    <w:rPr>
      <w:kern w:val="2"/>
      <w:sz w:val="18"/>
      <w:szCs w:val="18"/>
    </w:rPr>
  </w:style>
  <w:style w:type="character" w:customStyle="1" w:styleId="14">
    <w:name w:val="font21"/>
    <w:uiPriority w:val="0"/>
    <w:rPr>
      <w:rFonts w:hint="eastAsia" w:ascii="仿宋" w:hAnsi="仿宋" w:eastAsia="仿宋" w:cs="仿宋"/>
      <w:color w:val="00000A"/>
      <w:sz w:val="27"/>
      <w:szCs w:val="27"/>
      <w:u w:val="none"/>
    </w:rPr>
  </w:style>
  <w:style w:type="paragraph" w:customStyle="1" w:styleId="15">
    <w:name w:val="大纲正文"/>
    <w:basedOn w:val="1"/>
    <w:uiPriority w:val="0"/>
    <w:pPr>
      <w:spacing w:line="360" w:lineRule="auto"/>
      <w:ind w:firstLine="540" w:firstLineChars="225"/>
    </w:pPr>
    <w:rPr>
      <w:rFonts w:ascii="宋体" w:hAnsi="宋体"/>
      <w:sz w:val="24"/>
    </w:rPr>
  </w:style>
  <w:style w:type="paragraph" w:customStyle="1" w:styleId="16">
    <w:name w:val="1"/>
    <w:basedOn w:val="1"/>
    <w:next w:val="3"/>
    <w:uiPriority w:val="0"/>
    <w:pPr>
      <w:ind w:firstLine="600"/>
    </w:pPr>
    <w:rPr>
      <w:rFonts w:eastAsia="FangSong_GB2312"/>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4208</Words>
  <Characters>4403</Characters>
  <Lines>40</Lines>
  <Paragraphs>11</Paragraphs>
  <TotalTime>0</TotalTime>
  <ScaleCrop>false</ScaleCrop>
  <LinksUpToDate>false</LinksUpToDate>
  <CharactersWithSpaces>5097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2023-05-30T06:24:00Z</dcterms:created>
  <dc:creator>pc</dc:creator>
  <cp:lastModifiedBy>vertesyuan</cp:lastModifiedBy>
  <cp:lastPrinted>2023-09-20T06:59:10Z</cp:lastPrinted>
  <dcterms:modified xsi:type="dcterms:W3CDTF">2024-01-08T06:32:25Z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4A7AE45916654916B6DBD79BB1966D0E_13</vt:lpwstr>
  </property>
</Properties>
</file>