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考试科目：船舶原理</w:t>
      </w:r>
    </w:p>
    <w:p>
      <w:pPr>
        <w:pStyle w:val="8"/>
        <w:rPr>
          <w:rFonts w:hint="eastAsia" w:ascii="宋体" w:hAnsi="宋体" w:eastAsia="宋体" w:cs="宋体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一、船体的形状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型线图的组成，船舶的尺度及相关参数。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2.掌握船舶主尺度，主尺度比、船体系数及与船舶性能的关系。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二、船体计算的近似积分法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近似积分法的计算原理，梯形法则，辛氏法则的运用。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2.掌握梯形法则，辛氏法则的计算原理和特点。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掌握梯形法则，辛氏法则的使用方法、原则和应用，实现船体的相关计算。 </w:t>
      </w:r>
    </w:p>
    <w:p>
      <w:pPr>
        <w:pStyle w:val="8"/>
        <w:rPr>
          <w:rFonts w:hint="eastAsia" w:ascii="宋体" w:hAnsi="宋体" w:eastAsia="宋体" w:cs="宋体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三、浮性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船舶浮性的有关概念，浮体的平衡条件及浮态、船舶重心、排水量、浮心、漂心以及吃水等计算。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根据船舶重量、重心、排水量、浮心的相对位置判定船舶的漂浮状态。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掌握本章的相关计算及每厘米吃水吨数的应用。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四、稳性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稳性的基本概念与分类，船内重物变化及船舶装卸重物对船舶初稳性的影响。稳性计算表达式的原理和计算方法，船舶的平衡原理及稳性校核的方法。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2.掌握船内重物变化及船舶装卸重物的稳性计算。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3.掌握大倾角稳性中稳性曲线的概念和应用。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4.掌握影响船舶稳性的因素及稳性校核的方法。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五、吃水差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吃水及吃水差的概念和计算原理，船舶浮态与稳性的影响。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2.掌握船舶吃水及吃水差的计算。船舶浮态与稳性的关系。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六、抗沉性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抗沉性的基本概念，重量增加法和浮力损失法的计算原理。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2.掌握重量增加法和浮力损失法的计算原理及重量增加法的应用。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3.掌握船舶抗沉能力的分析。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七、船体强度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船体强度的基本概念，船体总纵弯矩和切力的计算原理，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2.掌握船舶总纵强度、局部强度的计算及影响的因素和校核。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八、船舶阻力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船舶阻力的组成和成因及影响因素，相关的阻力计算。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2.掌握船舶阻力的成因及影响因素。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3.附加阻力的计算。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九、船舶推进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螺旋桨的主要技术参数，螺旋桨的工作原理，船体和螺旋桨的相互影响。影响螺旋桨推进性能的因素。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2.掌握螺旋桨推力的产生及影响因素。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十、船舶的摇荡性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船舶摇荡运动的基本概念，自由横摇和谐摇。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2.掌握船舶自由横摇周期及影响因素。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船舶谐摇的判定及避开谐摇区的方法。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十一、船舶的操纵性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操纵性的基本概念， K、T指数，船舶回转运动。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 w:firstLine="140" w:firstLineChars="5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掌握基本概念。</w:t>
      </w:r>
    </w:p>
    <w:p>
      <w:pPr>
        <w:spacing w:after="0" w:line="0" w:lineRule="atLeast"/>
        <w:ind w:left="0" w:right="0" w:firstLine="140" w:firstLineChars="5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2.掌握船舶回转圈及几何要素。</w:t>
      </w:r>
    </w:p>
    <w:p>
      <w:pPr>
        <w:spacing w:after="0" w:line="0" w:lineRule="atLeast"/>
        <w:ind w:left="0" w:right="0" w:firstLine="140" w:firstLineChars="5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船舶回转运动各阶段中船舶的受力分析及运动特点。</w:t>
      </w:r>
    </w:p>
    <w:p>
      <w:pPr>
        <w:spacing w:after="0" w:line="0" w:lineRule="atLeast"/>
        <w:ind w:left="0" w:right="0" w:firstLine="140" w:firstLineChars="5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12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《船舶原理》 盛振邦  上海交通大学  2009年</w:t>
      </w:r>
    </w:p>
    <w:p>
      <w:pPr>
        <w:spacing w:after="0" w:line="0" w:lineRule="atLeast"/>
        <w:ind w:left="12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96E0F"/>
    <w:multiLevelType w:val="multilevel"/>
    <w:tmpl w:val="60A96E0F"/>
    <w:lvl w:ilvl="0" w:tentative="0">
      <w:start w:val="1"/>
      <w:numFmt w:val="bullet"/>
      <w:lvlText w:val=""/>
      <w:lvlJc w:val="left"/>
      <w:pPr>
        <w:tabs>
          <w:tab w:val="left" w:pos="540"/>
        </w:tabs>
        <w:ind w:left="5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04FE3"/>
    <w:rsid w:val="003867EC"/>
    <w:rsid w:val="005C3D33"/>
    <w:rsid w:val="00717AF2"/>
    <w:rsid w:val="00B46004"/>
    <w:rsid w:val="00E36A24"/>
    <w:rsid w:val="00F9700E"/>
    <w:rsid w:val="332D598A"/>
    <w:rsid w:val="3E033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8">
    <w:name w:val="样式1"/>
    <w:basedOn w:val="1"/>
    <w:link w:val="7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1014</Characters>
  <Lines>8</Lines>
  <Paragraphs>2</Paragraphs>
  <TotalTime>0</TotalTime>
  <ScaleCrop>false</ScaleCrop>
  <LinksUpToDate>false</LinksUpToDate>
  <CharactersWithSpaces>1189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2014-08-26T10:10:00Z</dcterms:created>
  <dc:creator>rhx</dc:creator>
  <cp:lastModifiedBy>vertesyuan</cp:lastModifiedBy>
  <dcterms:modified xsi:type="dcterms:W3CDTF">2024-01-09T06:43:21Z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2CCA95558E24496289E44F55B10FD165_13</vt:lpwstr>
  </property>
</Properties>
</file>