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ascii="华文中宋" w:hAnsi="华文中宋" w:eastAsia="华文中宋"/>
          <w:sz w:val="32"/>
          <w:szCs w:val="32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科目代码：3050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科目名称：诉讼法原理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pStyle w:val="2"/>
        <w:ind w:left="707" w:leftChars="70" w:hanging="560" w:hanging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一、刑事诉讼法学、民事诉讼法学的基本范畴</w:t>
      </w:r>
    </w:p>
    <w:p>
      <w:pPr>
        <w:pStyle w:val="2"/>
        <w:ind w:left="707" w:leftChars="70" w:hanging="560" w:hanging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（一）刑事诉讼法学的基本范畴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br w:type="textWrapping"/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刑事诉讼价值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刑事诉讼目的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刑事诉讼构造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4.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刑事诉讼阶段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5.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刑事诉讼法律关系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6.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刑事诉讼主体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7.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刑事诉讼职能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8.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刑事诉讼客体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9.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刑事诉讼行为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10.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刑事诉讼基本原则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程序性法律后果与程序制裁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12.刑事诉讼功能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（二）民事诉讼法学的基本范畴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>民事纠纷、纠纷解决与民事诉讼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民事诉讼目的、价值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民事诉讼职能、功能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4.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民事诉讼模式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5.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民事诉讼阶段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6.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民事诉讼法律关系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7.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民事诉讼主体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8.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民事诉讼标的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9.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民事诉讼行为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10.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民事诉讼基本原则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民事诉讼基本制度</w:t>
      </w:r>
    </w:p>
    <w:p>
      <w:pPr>
        <w:pStyle w:val="2"/>
        <w:ind w:left="451" w:leftChars="215" w:firstLine="280" w:firstLineChars="100"/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民事诉讼判决效力</w:t>
      </w:r>
    </w:p>
    <w:p>
      <w:pPr>
        <w:pStyle w:val="2"/>
        <w:ind w:left="283" w:leftChars="79" w:hanging="117" w:hangingChars="42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二、刑事诉讼的构造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刑事诉讼的横向构造</w:t>
      </w:r>
    </w:p>
    <w:p>
      <w:pPr>
        <w:pStyle w:val="2"/>
        <w:ind w:left="140" w:leftChars="0" w:hanging="14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 xml:space="preserve">   （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）审前程序构造</w:t>
      </w:r>
    </w:p>
    <w:p>
      <w:pPr>
        <w:pStyle w:val="2"/>
        <w:ind w:left="140" w:leftChars="0" w:hanging="14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 xml:space="preserve">   （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）审判程序构造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刑事诉讼的纵向构造</w:t>
      </w:r>
    </w:p>
    <w:p>
      <w:pPr>
        <w:pStyle w:val="2"/>
        <w:ind w:left="283" w:leftChars="79" w:hanging="117" w:hangingChars="42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三、民事诉讼当事人与法院之间的权限配置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当事人主义、职权主义、协同主义</w:t>
      </w:r>
    </w:p>
    <w:p>
      <w:pPr>
        <w:pStyle w:val="2"/>
        <w:ind w:left="140" w:leftChars="0" w:hanging="14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 xml:space="preserve">   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2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辩论主义、职权探知主义</w:t>
      </w:r>
    </w:p>
    <w:p>
      <w:pPr>
        <w:pStyle w:val="2"/>
        <w:ind w:left="140" w:leftChars="0" w:hanging="14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 xml:space="preserve">   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3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真实义务、事案解明义务、释明、法律观点指出义务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</w:t>
      </w: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民事诉讼模式的转型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</w:t>
      </w: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当事人诉讼权利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四、民事诉讼中检察机关的法律监督理论与程序实现</w:t>
      </w:r>
    </w:p>
    <w:p>
      <w:pPr>
        <w:pStyle w:val="2"/>
        <w:ind w:left="140" w:leftChars="0" w:hanging="14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五、程序正义理论</w:t>
      </w:r>
    </w:p>
    <w:p>
      <w:pPr>
        <w:pStyle w:val="2"/>
        <w:ind w:left="632" w:leftChars="301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程序正义与当代的程序价值理论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br w:type="textWrapping"/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程序正义价值的独立性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br w:type="textWrapping"/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程序正义与其他正义形态的关系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br w:type="textWrapping"/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4.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程序正义的基本构成要素</w:t>
      </w:r>
    </w:p>
    <w:p>
      <w:pPr>
        <w:pStyle w:val="2"/>
        <w:ind w:left="0" w:leftChars="0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六、认罪认罚从宽制度相关理论与实践</w:t>
      </w:r>
    </w:p>
    <w:p>
      <w:pPr>
        <w:pStyle w:val="2"/>
        <w:ind w:left="0" w:leftChars="0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七、民事公益诉讼相关理论与实践</w:t>
      </w:r>
    </w:p>
    <w:p>
      <w:pPr>
        <w:pStyle w:val="2"/>
        <w:ind w:left="0" w:leftChars="0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1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当前已立法明确可提起民事公益诉讼的案件范围</w:t>
      </w:r>
    </w:p>
    <w:p>
      <w:pPr>
        <w:pStyle w:val="2"/>
        <w:ind w:left="0" w:leftChars="0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2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民事公益诉讼与行政公益诉讼的区别</w:t>
      </w:r>
    </w:p>
    <w:p>
      <w:pPr>
        <w:pStyle w:val="2"/>
        <w:ind w:left="0" w:leftChars="0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3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民事公益诉讼的程序特殊性</w:t>
      </w:r>
    </w:p>
    <w:p>
      <w:pPr>
        <w:pStyle w:val="2"/>
        <w:ind w:left="0" w:leftChars="0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4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刑事附带民事公益诉讼</w:t>
      </w:r>
    </w:p>
    <w:p>
      <w:pPr>
        <w:pStyle w:val="2"/>
        <w:ind w:left="0" w:leftChars="0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5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检察民事公益诉讼</w:t>
      </w:r>
    </w:p>
    <w:p>
      <w:pPr>
        <w:pStyle w:val="2"/>
        <w:ind w:left="0" w:leftChars="0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6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公益诉讼相关理论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br w:type="textWrapping"/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八、刑事诉讼中的公民权利保护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br w:type="textWrapping"/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    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犯罪嫌疑人、被告人的诉讼权利与权利保护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被害人的诉讼权利与权利保护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对其他公民的权利保护</w:t>
      </w:r>
    </w:p>
    <w:p>
      <w:pPr>
        <w:pStyle w:val="2"/>
        <w:ind w:left="0" w:leftChars="0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九、刑事诉讼、民事诉讼程序原理与机制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（一）刑事诉讼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管辖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回避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辩护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4.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强制措施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5.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附带民事诉讼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6.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立案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7.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侦查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8.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起诉与不起诉</w:t>
      </w:r>
    </w:p>
    <w:p>
      <w:pPr>
        <w:pStyle w:val="2"/>
        <w:ind w:left="451" w:leftChars="215" w:firstLine="140" w:firstLineChars="5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9.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自诉</w:t>
      </w:r>
    </w:p>
    <w:p>
      <w:pPr>
        <w:pStyle w:val="2"/>
        <w:ind w:left="451" w:leftChars="215" w:firstLine="140" w:firstLineChars="5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10.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第一审程序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简易程序、速裁程序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第二审程序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死刑复核程序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14.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审判监督程序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15.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未成年人刑事诉讼程序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16.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当事人和解的公诉案件诉讼程序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17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eastAsia="zh-CN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缺席审判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18.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没收违法所得程序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19.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强制医疗程序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（二）民事诉讼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管辖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回避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合议制与独任制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4.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陪审制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5.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公开审判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6.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两审终审与例外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7.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调解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8.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起诉、立案受理、反诉、撤诉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9.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送达</w:t>
      </w:r>
    </w:p>
    <w:p>
      <w:pPr>
        <w:pStyle w:val="2"/>
        <w:ind w:left="451" w:leftChars="215" w:firstLine="140" w:firstLineChars="5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10.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保全与先予执行</w:t>
      </w:r>
    </w:p>
    <w:p>
      <w:pPr>
        <w:pStyle w:val="2"/>
        <w:ind w:left="451" w:leftChars="215" w:firstLine="140" w:firstLineChars="5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 xml:space="preserve"> 11.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民事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诉讼强制措施</w:t>
      </w:r>
    </w:p>
    <w:p>
      <w:pPr>
        <w:pStyle w:val="2"/>
        <w:ind w:left="483" w:leftChars="230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12.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第一审普通程序</w:t>
      </w:r>
    </w:p>
    <w:p>
      <w:pPr>
        <w:pStyle w:val="2"/>
        <w:ind w:left="718" w:leftChars="342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13.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简易程序、小额诉讼程序</w:t>
      </w:r>
    </w:p>
    <w:p>
      <w:pPr>
        <w:rPr>
          <w:rFonts w:cstheme="minorHAnsi"/>
          <w:sz w:val="28"/>
          <w:szCs w:val="28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    </w:t>
      </w:r>
      <w:r>
        <w:rPr>
          <w:rFonts w:cstheme="minorHAnsi"/>
          <w:sz w:val="28"/>
          <w:szCs w:val="28"/>
          <w:highlight w:val="none"/>
        </w:rPr>
        <w:t>14.第三人撤销之诉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    </w:t>
      </w:r>
      <w:r>
        <w:rPr>
          <w:sz w:val="28"/>
          <w:szCs w:val="28"/>
          <w:highlight w:val="none"/>
        </w:rPr>
        <w:t>15.</w:t>
      </w:r>
      <w:r>
        <w:rPr>
          <w:rFonts w:hint="eastAsia"/>
          <w:sz w:val="28"/>
          <w:szCs w:val="28"/>
          <w:highlight w:val="none"/>
        </w:rPr>
        <w:t>第二审程序</w:t>
      </w:r>
      <w:bookmarkStart w:id="0" w:name="_GoBack"/>
      <w:bookmarkEnd w:id="0"/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1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审判监督程序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1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特别程序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1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督促程序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1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.公示催告程序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  <w:t>20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缺席判决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延期审理、诉讼中止、诉讼终结</w:t>
      </w:r>
    </w:p>
    <w:p>
      <w:pPr>
        <w:pStyle w:val="2"/>
        <w:ind w:left="451" w:leftChars="215" w:firstLine="280" w:firstLineChars="1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民事执行</w:t>
      </w:r>
    </w:p>
    <w:p>
      <w:pPr>
        <w:pStyle w:val="2"/>
        <w:ind w:left="118" w:leftChars="56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十、司法体制改革对刑事诉讼、民事诉讼的影响</w:t>
      </w:r>
    </w:p>
    <w:p>
      <w:pPr>
        <w:rPr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</w:t>
      </w:r>
      <w:r>
        <w:rPr>
          <w:rFonts w:hint="eastAsia"/>
          <w:sz w:val="28"/>
          <w:szCs w:val="28"/>
          <w:highlight w:val="none"/>
          <w:lang w:eastAsia="zh-CN"/>
        </w:rPr>
        <w:t>十一</w:t>
      </w:r>
      <w:r>
        <w:rPr>
          <w:rFonts w:hint="eastAsia"/>
          <w:sz w:val="28"/>
          <w:szCs w:val="28"/>
          <w:highlight w:val="none"/>
        </w:rPr>
        <w:t>、前沿政策对刑事诉讼、民事诉讼的影响</w:t>
      </w:r>
    </w:p>
    <w:p>
      <w:pPr>
        <w:pStyle w:val="2"/>
        <w:ind w:left="118" w:leftChars="56" w:firstLine="0" w:firstLineChars="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  <w:lang w:eastAsia="zh-CN"/>
        </w:rPr>
        <w:t>十二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、刑事、民事证据制度</w:t>
      </w:r>
    </w:p>
    <w:p>
      <w:pPr>
        <w:pStyle w:val="2"/>
        <w:ind w:left="141" w:leftChars="67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  <w:highlight w:val="none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highlight w:val="none"/>
        </w:rPr>
        <w:t>证据学原理</w:t>
      </w:r>
    </w:p>
    <w:p>
      <w:pPr>
        <w:pStyle w:val="2"/>
        <w:ind w:left="141" w:leftChars="67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2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证据规则</w:t>
      </w:r>
    </w:p>
    <w:p>
      <w:pPr>
        <w:pStyle w:val="2"/>
        <w:ind w:left="141" w:leftChars="67" w:firstLine="560" w:firstLineChars="200"/>
        <w:rPr>
          <w:rFonts w:asciiTheme="minorHAnsi" w:hAnsiTheme="minorHAnsi" w:eastAsiaTheme="minorEastAsia" w:cstheme="minorBidi"/>
          <w:color w:val="auto"/>
          <w:sz w:val="28"/>
          <w:szCs w:val="28"/>
        </w:rPr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3.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证明过程</w:t>
      </w:r>
    </w:p>
    <w:p/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110BC3"/>
    <w:rsid w:val="000B410F"/>
    <w:rsid w:val="000C491C"/>
    <w:rsid w:val="000F1525"/>
    <w:rsid w:val="00110BC3"/>
    <w:rsid w:val="00115C7E"/>
    <w:rsid w:val="00120965"/>
    <w:rsid w:val="001E133B"/>
    <w:rsid w:val="001F2674"/>
    <w:rsid w:val="003E2088"/>
    <w:rsid w:val="003F252B"/>
    <w:rsid w:val="00441E44"/>
    <w:rsid w:val="004E11DE"/>
    <w:rsid w:val="00570FD1"/>
    <w:rsid w:val="00581169"/>
    <w:rsid w:val="005A17F1"/>
    <w:rsid w:val="005C5587"/>
    <w:rsid w:val="00604EFF"/>
    <w:rsid w:val="00611594"/>
    <w:rsid w:val="00614DD4"/>
    <w:rsid w:val="006C204E"/>
    <w:rsid w:val="0074544C"/>
    <w:rsid w:val="007C3E5D"/>
    <w:rsid w:val="007C5846"/>
    <w:rsid w:val="007D0512"/>
    <w:rsid w:val="007F693D"/>
    <w:rsid w:val="008052B4"/>
    <w:rsid w:val="00920B1C"/>
    <w:rsid w:val="00A119B7"/>
    <w:rsid w:val="00A75114"/>
    <w:rsid w:val="00A93D04"/>
    <w:rsid w:val="00AC1831"/>
    <w:rsid w:val="00B7125F"/>
    <w:rsid w:val="00BC7128"/>
    <w:rsid w:val="00C208A1"/>
    <w:rsid w:val="00C53949"/>
    <w:rsid w:val="00C61048"/>
    <w:rsid w:val="00C742C7"/>
    <w:rsid w:val="00CA0A26"/>
    <w:rsid w:val="00CC03EC"/>
    <w:rsid w:val="00D056D7"/>
    <w:rsid w:val="00D6573B"/>
    <w:rsid w:val="00E32798"/>
    <w:rsid w:val="00E76FA1"/>
    <w:rsid w:val="00EB67B4"/>
    <w:rsid w:val="00ED4267"/>
    <w:rsid w:val="00F300CA"/>
    <w:rsid w:val="00F32964"/>
    <w:rsid w:val="00F87223"/>
    <w:rsid w:val="053022E6"/>
    <w:rsid w:val="0AE421FA"/>
    <w:rsid w:val="0D9455B5"/>
    <w:rsid w:val="14024910"/>
    <w:rsid w:val="2D452AE2"/>
    <w:rsid w:val="3EE2512D"/>
    <w:rsid w:val="493E2DB4"/>
    <w:rsid w:val="51FC6379"/>
    <w:rsid w:val="532D5C89"/>
    <w:rsid w:val="5E2B0E7F"/>
    <w:rsid w:val="6A875B9E"/>
    <w:rsid w:val="6C7F4ADB"/>
    <w:rsid w:val="6E504B33"/>
    <w:rsid w:val="78150232"/>
    <w:rsid w:val="7E9B30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next w:val="1"/>
    <w:unhideWhenUsed/>
    <w:qFormat/>
    <w:uiPriority w:val="0"/>
    <w:pPr>
      <w:spacing w:line="360" w:lineRule="auto"/>
      <w:ind w:left="602" w:leftChars="172" w:hanging="120" w:hangingChars="50"/>
    </w:pPr>
    <w:rPr>
      <w:rFonts w:ascii="黑体" w:hAnsi="黑体" w:eastAsia="黑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209</Words>
  <Characters>1194</Characters>
  <Lines>9</Lines>
  <Paragraphs>2</Paragraphs>
  <TotalTime>77</TotalTime>
  <ScaleCrop>false</ScaleCrop>
  <LinksUpToDate>false</LinksUpToDate>
  <CharactersWithSpaces>1401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2020-10-19T09:11:00Z</dcterms:created>
  <dc:creator>user</dc:creator>
  <cp:lastModifiedBy>夭桃秾李</cp:lastModifiedBy>
  <cp:lastPrinted>2020-10-28T06:24:00Z</cp:lastPrinted>
  <dcterms:modified xsi:type="dcterms:W3CDTF">2023-12-12T02:21:57Z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4DED243F777E44B1A69D5D5D7CF39BC7</vt:lpwstr>
  </property>
</Properties>
</file>