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仿宋" w:eastAsia="黑体"/>
          <w:b/>
          <w:sz w:val="32"/>
          <w:szCs w:val="32"/>
        </w:rPr>
      </w:pPr>
      <w:bookmarkStart w:id="0" w:name="_GoBack"/>
      <w:bookmarkEnd w:id="0"/>
      <w:r>
        <w:rPr>
          <w:rFonts w:hint="eastAsia" w:ascii="黑体" w:hAnsi="仿宋" w:eastAsia="黑体"/>
          <w:b/>
          <w:sz w:val="32"/>
          <w:szCs w:val="32"/>
        </w:rPr>
        <w:t>华北电力大学20</w:t>
      </w:r>
      <w:r>
        <w:rPr>
          <w:rFonts w:ascii="黑体" w:hAnsi="仿宋" w:eastAsia="黑体"/>
          <w:b/>
          <w:sz w:val="32"/>
          <w:szCs w:val="32"/>
        </w:rPr>
        <w:t>24</w:t>
      </w:r>
      <w:r>
        <w:rPr>
          <w:rFonts w:hint="eastAsia" w:ascii="黑体" w:hAnsi="仿宋" w:eastAsia="黑体"/>
          <w:b/>
          <w:sz w:val="32"/>
          <w:szCs w:val="32"/>
        </w:rPr>
        <w:t>年博士生入学考试初试科目考试大纲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科目名称：化工原理</w:t>
      </w:r>
    </w:p>
    <w:p>
      <w:pPr>
        <w:ind w:left="337" w:hanging="337" w:hangingChars="120"/>
        <w:rPr>
          <w:rFonts w:hint="eastAsia" w:ascii="仿宋_GB2312" w:hAnsi="仿宋" w:eastAsia="仿宋_GB2312"/>
          <w:b/>
          <w:sz w:val="28"/>
          <w:szCs w:val="28"/>
        </w:rPr>
      </w:pPr>
      <w:r>
        <w:rPr>
          <w:rFonts w:hint="eastAsia" w:ascii="仿宋_GB2312" w:hAnsi="仿宋" w:eastAsia="仿宋_GB2312"/>
          <w:b/>
          <w:sz w:val="28"/>
          <w:szCs w:val="28"/>
        </w:rPr>
        <w:t>一、</w:t>
      </w:r>
      <w:r>
        <w:rPr>
          <w:rFonts w:hint="eastAsia" w:ascii="仿宋_GB2312" w:hAnsi="仿宋" w:eastAsia="仿宋_GB2312"/>
          <w:b/>
          <w:sz w:val="28"/>
          <w:szCs w:val="28"/>
        </w:rPr>
        <w:tab/>
      </w:r>
      <w:r>
        <w:rPr>
          <w:rFonts w:hint="eastAsia" w:ascii="仿宋_GB2312" w:hAnsi="仿宋" w:eastAsia="仿宋_GB2312"/>
          <w:b/>
          <w:sz w:val="28"/>
          <w:szCs w:val="28"/>
        </w:rPr>
        <w:t>考试总体要求</w:t>
      </w:r>
    </w:p>
    <w:p>
      <w:pPr>
        <w:ind w:left="0" w:firstLine="560" w:firstLineChars="200"/>
        <w:rPr>
          <w:rFonts w:ascii="仿宋_GB2312" w:hAnsi="仿宋" w:eastAsia="仿宋_GB2312"/>
          <w:sz w:val="28"/>
          <w:szCs w:val="28"/>
        </w:rPr>
      </w:pPr>
      <w:r>
        <w:rPr>
          <w:rFonts w:ascii="仿宋_GB2312" w:hAnsi="仿宋" w:eastAsia="仿宋_GB2312"/>
          <w:sz w:val="28"/>
          <w:szCs w:val="28"/>
        </w:rPr>
        <w:t>全面</w:t>
      </w:r>
      <w:r>
        <w:rPr>
          <w:rFonts w:hint="eastAsia" w:ascii="仿宋_GB2312" w:hAnsi="仿宋" w:eastAsia="仿宋_GB2312"/>
          <w:sz w:val="28"/>
          <w:szCs w:val="28"/>
        </w:rPr>
        <w:t>、深入、</w:t>
      </w:r>
      <w:r>
        <w:rPr>
          <w:rFonts w:ascii="仿宋_GB2312" w:hAnsi="仿宋" w:eastAsia="仿宋_GB2312"/>
          <w:sz w:val="28"/>
          <w:szCs w:val="28"/>
        </w:rPr>
        <w:t>系统掌握</w:t>
      </w:r>
      <w:r>
        <w:rPr>
          <w:rFonts w:hint="eastAsia" w:ascii="仿宋_GB2312" w:hAnsi="仿宋" w:eastAsia="仿宋_GB2312"/>
          <w:sz w:val="28"/>
          <w:szCs w:val="28"/>
        </w:rPr>
        <w:t>化工传递过程原理、</w:t>
      </w:r>
      <w:r>
        <w:rPr>
          <w:rFonts w:ascii="仿宋_GB2312" w:hAnsi="仿宋" w:eastAsia="仿宋_GB2312"/>
          <w:sz w:val="28"/>
          <w:szCs w:val="28"/>
        </w:rPr>
        <w:t>化工单元操作的基本原理、典型设备的结构原理、操作性能和设计计算，具备</w:t>
      </w:r>
      <w:r>
        <w:rPr>
          <w:rFonts w:hint="eastAsia" w:ascii="仿宋_GB2312" w:hAnsi="仿宋" w:eastAsia="仿宋_GB2312"/>
          <w:sz w:val="28"/>
          <w:szCs w:val="28"/>
        </w:rPr>
        <w:t>灵活运用所学知识</w:t>
      </w:r>
      <w:r>
        <w:rPr>
          <w:rFonts w:ascii="仿宋_GB2312" w:hAnsi="仿宋" w:eastAsia="仿宋_GB2312"/>
          <w:sz w:val="28"/>
          <w:szCs w:val="28"/>
        </w:rPr>
        <w:t>分析</w:t>
      </w:r>
      <w:r>
        <w:rPr>
          <w:rFonts w:hint="eastAsia" w:ascii="仿宋_GB2312" w:hAnsi="仿宋" w:eastAsia="仿宋_GB2312"/>
          <w:sz w:val="28"/>
          <w:szCs w:val="28"/>
        </w:rPr>
        <w:t>解决工程问题的科学思维能力和创新思维能力。</w:t>
      </w:r>
    </w:p>
    <w:p>
      <w:pPr>
        <w:ind w:left="337" w:hanging="337" w:hangingChars="120"/>
        <w:rPr>
          <w:rFonts w:hint="eastAsia" w:ascii="仿宋_GB2312" w:hAnsi="仿宋" w:eastAsia="仿宋_GB2312"/>
          <w:b/>
          <w:sz w:val="28"/>
          <w:szCs w:val="28"/>
        </w:rPr>
      </w:pPr>
      <w:r>
        <w:rPr>
          <w:rFonts w:hint="eastAsia" w:ascii="仿宋_GB2312" w:hAnsi="仿宋" w:eastAsia="仿宋_GB2312"/>
          <w:b/>
          <w:sz w:val="28"/>
          <w:szCs w:val="28"/>
        </w:rPr>
        <w:t>二、</w:t>
      </w:r>
      <w:r>
        <w:rPr>
          <w:rFonts w:hint="eastAsia" w:ascii="仿宋_GB2312" w:hAnsi="仿宋" w:eastAsia="仿宋_GB2312"/>
          <w:b/>
          <w:sz w:val="28"/>
          <w:szCs w:val="28"/>
        </w:rPr>
        <w:tab/>
      </w:r>
      <w:r>
        <w:rPr>
          <w:rFonts w:hint="eastAsia" w:ascii="仿宋_GB2312" w:hAnsi="仿宋" w:eastAsia="仿宋_GB2312"/>
          <w:b/>
          <w:sz w:val="28"/>
          <w:szCs w:val="28"/>
        </w:rPr>
        <w:t>考试内容</w:t>
      </w:r>
    </w:p>
    <w:p>
      <w:pPr>
        <w:ind w:left="0" w:firstLine="560" w:firstLineChars="200"/>
        <w:rPr>
          <w:rFonts w:hint="eastAsia" w:ascii="仿宋_GB2312" w:hAnsi="仿宋" w:eastAsia="仿宋_GB2312"/>
          <w:sz w:val="28"/>
          <w:szCs w:val="28"/>
        </w:rPr>
      </w:pPr>
      <w:r>
        <w:rPr>
          <w:rFonts w:hint="eastAsia" w:ascii="仿宋_GB2312" w:hAnsi="仿宋" w:eastAsia="仿宋_GB2312"/>
          <w:sz w:val="28"/>
          <w:szCs w:val="28"/>
        </w:rPr>
        <w:t>1. 流体流动及其输送机械：掌握流体静力学基本方程及其应用，稳态流动与非稳态流动、连续性方程、牛顿粘性定律、流动类型与雷诺准数、层流与湍流、边界层、直管流动阻力、摩擦系数、因次分析、管路局部阻力、管路系统总能量损失、简单管路与复杂管路、测速管、孔板、文丘里和转子流量计；离心泵的工作原理、主要部件、主要性能参数、特性曲线、工作点与流量调节、汽蚀现象与安装高度；</w:t>
      </w:r>
      <w:r>
        <w:rPr>
          <w:rFonts w:ascii="仿宋_GB2312" w:hAnsi="仿宋" w:eastAsia="仿宋_GB2312"/>
          <w:sz w:val="28"/>
          <w:szCs w:val="28"/>
        </w:rPr>
        <w:t>灵活运用流体力学基本知识分析和计算流体流动问题</w:t>
      </w:r>
      <w:r>
        <w:rPr>
          <w:rFonts w:hint="eastAsia" w:ascii="仿宋_GB2312" w:hAnsi="仿宋" w:eastAsia="仿宋_GB2312"/>
          <w:sz w:val="28"/>
          <w:szCs w:val="28"/>
        </w:rPr>
        <w:t>。</w:t>
      </w:r>
    </w:p>
    <w:p>
      <w:pPr>
        <w:ind w:left="0" w:firstLine="560" w:firstLineChars="200"/>
        <w:rPr>
          <w:rFonts w:hint="eastAsia" w:ascii="仿宋_GB2312" w:hAnsi="仿宋" w:eastAsia="仿宋_GB2312"/>
          <w:sz w:val="28"/>
          <w:szCs w:val="28"/>
        </w:rPr>
      </w:pPr>
      <w:r>
        <w:rPr>
          <w:rFonts w:hint="eastAsia" w:ascii="仿宋_GB2312" w:hAnsi="仿宋" w:eastAsia="仿宋_GB2312"/>
          <w:sz w:val="28"/>
          <w:szCs w:val="28"/>
        </w:rPr>
        <w:t>2. 传热过程与设备：</w:t>
      </w:r>
      <w:r>
        <w:rPr>
          <w:rFonts w:ascii="仿宋_GB2312" w:hAnsi="仿宋" w:eastAsia="仿宋_GB2312"/>
          <w:sz w:val="28"/>
          <w:szCs w:val="28"/>
        </w:rPr>
        <w:t>熟练掌握热传导的基本原理、傅立叶定律和</w:t>
      </w:r>
      <w:r>
        <w:rPr>
          <w:rFonts w:hint="eastAsia" w:ascii="仿宋_GB2312" w:hAnsi="仿宋" w:eastAsia="仿宋_GB2312"/>
          <w:sz w:val="28"/>
          <w:szCs w:val="28"/>
        </w:rPr>
        <w:t>稳</w:t>
      </w:r>
      <w:r>
        <w:rPr>
          <w:rFonts w:ascii="仿宋_GB2312" w:hAnsi="仿宋" w:eastAsia="仿宋_GB2312"/>
          <w:sz w:val="28"/>
          <w:szCs w:val="28"/>
        </w:rPr>
        <w:t>态热传导的计算</w:t>
      </w:r>
      <w:r>
        <w:rPr>
          <w:rFonts w:hint="eastAsia" w:ascii="仿宋_GB2312" w:hAnsi="仿宋" w:eastAsia="仿宋_GB2312"/>
          <w:sz w:val="28"/>
          <w:szCs w:val="28"/>
        </w:rPr>
        <w:t>；掌握</w:t>
      </w:r>
      <w:r>
        <w:rPr>
          <w:rFonts w:ascii="仿宋_GB2312" w:hAnsi="仿宋" w:eastAsia="仿宋_GB2312"/>
          <w:sz w:val="28"/>
          <w:szCs w:val="28"/>
        </w:rPr>
        <w:t>对流传热的影响因素、主要关联式、对流传热的计算和传热强化</w:t>
      </w:r>
      <w:r>
        <w:rPr>
          <w:rFonts w:hint="eastAsia" w:ascii="仿宋_GB2312" w:hAnsi="仿宋" w:eastAsia="仿宋_GB2312"/>
          <w:sz w:val="28"/>
          <w:szCs w:val="28"/>
        </w:rPr>
        <w:t>；</w:t>
      </w:r>
      <w:r>
        <w:rPr>
          <w:rFonts w:ascii="仿宋_GB2312" w:hAnsi="仿宋" w:eastAsia="仿宋_GB2312"/>
          <w:sz w:val="28"/>
          <w:szCs w:val="28"/>
        </w:rPr>
        <w:t>了解换热器分类、选型和应用</w:t>
      </w:r>
      <w:r>
        <w:rPr>
          <w:rFonts w:hint="eastAsia" w:ascii="仿宋_GB2312" w:hAnsi="仿宋" w:eastAsia="仿宋_GB2312"/>
          <w:sz w:val="28"/>
          <w:szCs w:val="28"/>
        </w:rPr>
        <w:t>，</w:t>
      </w:r>
      <w:r>
        <w:rPr>
          <w:rFonts w:ascii="仿宋_GB2312" w:hAnsi="仿宋" w:eastAsia="仿宋_GB2312"/>
          <w:sz w:val="28"/>
          <w:szCs w:val="28"/>
        </w:rPr>
        <w:t>掌握换热器基本计算</w:t>
      </w:r>
      <w:r>
        <w:rPr>
          <w:rFonts w:hint="eastAsia" w:ascii="仿宋_GB2312" w:hAnsi="仿宋" w:eastAsia="仿宋_GB2312"/>
          <w:sz w:val="28"/>
          <w:szCs w:val="28"/>
        </w:rPr>
        <w:t>；</w:t>
      </w:r>
      <w:r>
        <w:rPr>
          <w:rFonts w:ascii="仿宋_GB2312" w:hAnsi="仿宋" w:eastAsia="仿宋_GB2312"/>
          <w:sz w:val="28"/>
          <w:szCs w:val="28"/>
        </w:rPr>
        <w:t>了解辐射</w:t>
      </w:r>
      <w:r>
        <w:rPr>
          <w:rFonts w:hint="eastAsia" w:ascii="仿宋_GB2312" w:hAnsi="仿宋" w:eastAsia="仿宋_GB2312"/>
          <w:sz w:val="28"/>
          <w:szCs w:val="28"/>
        </w:rPr>
        <w:t>传热</w:t>
      </w:r>
      <w:r>
        <w:rPr>
          <w:rFonts w:ascii="仿宋_GB2312" w:hAnsi="仿宋" w:eastAsia="仿宋_GB2312"/>
          <w:sz w:val="28"/>
          <w:szCs w:val="28"/>
        </w:rPr>
        <w:t>的特点和规律。灵活运用传热基本原理</w:t>
      </w:r>
      <w:r>
        <w:rPr>
          <w:rFonts w:hint="eastAsia" w:ascii="仿宋_GB2312" w:hAnsi="仿宋" w:eastAsia="仿宋_GB2312"/>
          <w:sz w:val="28"/>
          <w:szCs w:val="28"/>
        </w:rPr>
        <w:t>，进行传热过程的设计型和操作型计算。</w:t>
      </w:r>
    </w:p>
    <w:p>
      <w:pPr>
        <w:ind w:left="0" w:firstLine="560" w:firstLineChars="200"/>
        <w:rPr>
          <w:rFonts w:hint="eastAsia" w:ascii="仿宋_GB2312" w:hAnsi="仿宋" w:eastAsia="仿宋_GB2312"/>
          <w:sz w:val="28"/>
          <w:szCs w:val="28"/>
        </w:rPr>
      </w:pPr>
      <w:r>
        <w:rPr>
          <w:rFonts w:hint="eastAsia" w:ascii="仿宋_GB2312" w:hAnsi="仿宋" w:eastAsia="仿宋_GB2312"/>
          <w:sz w:val="28"/>
          <w:szCs w:val="28"/>
        </w:rPr>
        <w:t>3. 吸收过程与设备：掌握平衡溶解度、亨利定律、相平衡与吸收过程关系、菲克定律、分子扩散速率、扩散系数、对流传质、对流传质理论、相际传质速率和传质阻力控制步骤等基本概念和原理；了解二氧化硫脱除技术对社会可持续发展的重要性；灵活运用物料衡算与传质速率方程对低浓度气体在填料塔内的吸收工艺计算。</w:t>
      </w:r>
    </w:p>
    <w:p>
      <w:pPr>
        <w:ind w:left="0" w:firstLine="560" w:firstLineChars="200"/>
        <w:rPr>
          <w:rFonts w:hint="eastAsia" w:ascii="仿宋_GB2312" w:hAnsi="仿宋" w:eastAsia="仿宋_GB2312"/>
          <w:sz w:val="28"/>
          <w:szCs w:val="28"/>
        </w:rPr>
      </w:pPr>
      <w:r>
        <w:rPr>
          <w:rFonts w:hint="eastAsia" w:ascii="仿宋_GB2312" w:hAnsi="仿宋" w:eastAsia="仿宋_GB2312"/>
          <w:sz w:val="28"/>
          <w:szCs w:val="28"/>
        </w:rPr>
        <w:t>4. 蒸馏过程与设备：掌握双组分溶液的汽液相平衡、拉乌尔定律、相对挥发度、两组分气液平衡；</w:t>
      </w:r>
      <w:r>
        <w:rPr>
          <w:rFonts w:ascii="仿宋_GB2312" w:hAnsi="仿宋" w:eastAsia="仿宋_GB2312"/>
          <w:sz w:val="28"/>
          <w:szCs w:val="28"/>
        </w:rPr>
        <w:t>熟练掌握蒸馏和精馏的基本原理、以及不同条件下的精馏计算，包括进料状态和位置、平衡线、q线、回流比、精馏段操作线和提馏段操作线、理论板及全塔效率等。</w:t>
      </w:r>
      <w:r>
        <w:rPr>
          <w:rFonts w:hint="eastAsia" w:ascii="仿宋_GB2312" w:hAnsi="仿宋" w:eastAsia="仿宋_GB2312"/>
          <w:sz w:val="28"/>
          <w:szCs w:val="28"/>
        </w:rPr>
        <w:t>灵活运用相平衡关系和物料衡算方程对板式塔进行精馏工艺计算。</w:t>
      </w:r>
    </w:p>
    <w:p>
      <w:pPr>
        <w:ind w:left="337" w:hanging="337" w:hangingChars="120"/>
        <w:rPr>
          <w:rFonts w:ascii="仿宋_GB2312" w:hAnsi="仿宋" w:eastAsia="仿宋_GB2312"/>
          <w:b/>
          <w:sz w:val="28"/>
          <w:szCs w:val="28"/>
        </w:rPr>
      </w:pPr>
      <w:r>
        <w:rPr>
          <w:rFonts w:hint="eastAsia" w:ascii="仿宋_GB2312" w:hAnsi="仿宋" w:eastAsia="仿宋_GB2312"/>
          <w:b/>
          <w:sz w:val="28"/>
          <w:szCs w:val="28"/>
        </w:rPr>
        <w:t>三、</w:t>
      </w:r>
      <w:r>
        <w:rPr>
          <w:rFonts w:hint="eastAsia" w:ascii="仿宋_GB2312" w:hAnsi="仿宋" w:eastAsia="仿宋_GB2312"/>
          <w:b/>
          <w:sz w:val="28"/>
          <w:szCs w:val="28"/>
        </w:rPr>
        <w:tab/>
      </w:r>
      <w:r>
        <w:rPr>
          <w:rFonts w:hint="eastAsia" w:ascii="仿宋_GB2312" w:hAnsi="仿宋" w:eastAsia="仿宋_GB2312"/>
          <w:b/>
          <w:sz w:val="28"/>
          <w:szCs w:val="28"/>
        </w:rPr>
        <w:t>考试题型</w:t>
      </w:r>
    </w:p>
    <w:p>
      <w:pPr>
        <w:ind w:left="0" w:firstLine="560" w:firstLineChars="200"/>
        <w:rPr>
          <w:rFonts w:hint="eastAsia" w:ascii="仿宋_GB2312" w:hAnsi="仿宋" w:eastAsia="仿宋_GB2312"/>
          <w:sz w:val="28"/>
          <w:szCs w:val="28"/>
        </w:rPr>
      </w:pPr>
      <w:r>
        <w:rPr>
          <w:rFonts w:hint="eastAsia" w:ascii="仿宋_GB2312" w:hAnsi="仿宋" w:eastAsia="仿宋_GB2312"/>
          <w:sz w:val="28"/>
          <w:szCs w:val="28"/>
        </w:rPr>
        <w:t>1.填空题；2</w:t>
      </w:r>
      <w:r>
        <w:rPr>
          <w:rFonts w:ascii="仿宋_GB2312" w:hAnsi="仿宋" w:eastAsia="仿宋_GB2312"/>
          <w:sz w:val="28"/>
          <w:szCs w:val="28"/>
        </w:rPr>
        <w:t>.</w:t>
      </w:r>
      <w:r>
        <w:rPr>
          <w:rFonts w:hint="eastAsia" w:ascii="仿宋_GB2312" w:hAnsi="仿宋" w:eastAsia="仿宋_GB2312"/>
          <w:sz w:val="28"/>
          <w:szCs w:val="28"/>
        </w:rPr>
        <w:t>选择题；</w:t>
      </w:r>
      <w:r>
        <w:rPr>
          <w:rFonts w:ascii="仿宋_GB2312" w:hAnsi="仿宋" w:eastAsia="仿宋_GB2312"/>
          <w:sz w:val="28"/>
          <w:szCs w:val="28"/>
        </w:rPr>
        <w:t>3</w:t>
      </w:r>
      <w:r>
        <w:rPr>
          <w:rFonts w:hint="eastAsia" w:ascii="仿宋_GB2312" w:hAnsi="仿宋" w:eastAsia="仿宋_GB2312"/>
          <w:sz w:val="28"/>
          <w:szCs w:val="28"/>
        </w:rPr>
        <w:t xml:space="preserve">.计算题； </w:t>
      </w:r>
      <w:r>
        <w:rPr>
          <w:rFonts w:ascii="仿宋_GB2312" w:hAnsi="仿宋" w:eastAsia="仿宋_GB2312"/>
          <w:sz w:val="28"/>
          <w:szCs w:val="28"/>
        </w:rPr>
        <w:t>4</w:t>
      </w:r>
      <w:r>
        <w:rPr>
          <w:rFonts w:hint="eastAsia" w:ascii="仿宋_GB2312" w:hAnsi="仿宋" w:eastAsia="仿宋_GB2312"/>
          <w:sz w:val="28"/>
          <w:szCs w:val="28"/>
        </w:rPr>
        <w:t>.论述题。</w:t>
      </w:r>
    </w:p>
    <w:p>
      <w:pPr>
        <w:ind w:left="337" w:hanging="337" w:hangingChars="120"/>
        <w:rPr>
          <w:rFonts w:hint="eastAsia" w:ascii="仿宋_GB2312" w:hAnsi="仿宋" w:eastAsia="仿宋_GB2312"/>
          <w:b/>
          <w:sz w:val="28"/>
          <w:szCs w:val="28"/>
        </w:rPr>
      </w:pPr>
      <w:r>
        <w:rPr>
          <w:rFonts w:hint="eastAsia" w:ascii="仿宋_GB2312" w:hAnsi="仿宋" w:eastAsia="仿宋_GB2312"/>
          <w:b/>
          <w:sz w:val="28"/>
          <w:szCs w:val="28"/>
        </w:rPr>
        <w:t>四、</w:t>
      </w:r>
      <w:r>
        <w:rPr>
          <w:rFonts w:hint="eastAsia" w:ascii="仿宋_GB2312" w:hAnsi="仿宋" w:eastAsia="仿宋_GB2312"/>
          <w:b/>
          <w:sz w:val="28"/>
          <w:szCs w:val="28"/>
        </w:rPr>
        <w:tab/>
      </w:r>
      <w:r>
        <w:rPr>
          <w:rFonts w:hint="eastAsia" w:ascii="仿宋_GB2312" w:hAnsi="仿宋" w:eastAsia="仿宋_GB2312"/>
          <w:b/>
          <w:sz w:val="28"/>
          <w:szCs w:val="28"/>
        </w:rPr>
        <w:t>参考书目</w:t>
      </w:r>
    </w:p>
    <w:p>
      <w:pPr>
        <w:ind w:left="0" w:firstLine="560" w:firstLineChars="200"/>
        <w:rPr>
          <w:rFonts w:hint="eastAsia" w:ascii="仿宋_GB2312" w:hAnsi="仿宋" w:eastAsia="仿宋_GB2312"/>
          <w:sz w:val="28"/>
          <w:szCs w:val="28"/>
        </w:rPr>
      </w:pPr>
      <w:r>
        <w:rPr>
          <w:rFonts w:hint="eastAsia" w:ascii="仿宋_GB2312" w:hAnsi="仿宋" w:eastAsia="仿宋_GB2312"/>
          <w:sz w:val="28"/>
          <w:szCs w:val="28"/>
        </w:rPr>
        <w:t>王志魁等编，化工原理（第四版），化学工业出版社，2</w:t>
      </w:r>
      <w:r>
        <w:rPr>
          <w:rFonts w:ascii="仿宋_GB2312" w:hAnsi="仿宋" w:eastAsia="仿宋_GB2312"/>
          <w:sz w:val="28"/>
          <w:szCs w:val="28"/>
        </w:rPr>
        <w:t>010</w:t>
      </w:r>
      <w:r>
        <w:rPr>
          <w:rFonts w:hint="eastAsia" w:ascii="仿宋_GB2312" w:hAnsi="仿宋" w:eastAsia="仿宋_GB2312"/>
          <w:sz w:val="28"/>
          <w:szCs w:val="28"/>
        </w:rPr>
        <w:t>年</w:t>
      </w:r>
    </w:p>
    <w:p>
      <w:pPr>
        <w:ind w:left="337" w:hanging="337" w:hangingChars="120"/>
        <w:rPr>
          <w:rFonts w:ascii="仿宋_GB2312" w:hAnsi="仿宋" w:eastAsia="仿宋_GB2312"/>
          <w:b/>
          <w:sz w:val="28"/>
          <w:szCs w:val="28"/>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56"/>
    <w:rsid w:val="00013D0D"/>
    <w:rsid w:val="00022C50"/>
    <w:rsid w:val="00054AFF"/>
    <w:rsid w:val="000B380A"/>
    <w:rsid w:val="000B4A91"/>
    <w:rsid w:val="000B6A39"/>
    <w:rsid w:val="000C7925"/>
    <w:rsid w:val="00120ACD"/>
    <w:rsid w:val="0017032F"/>
    <w:rsid w:val="001728AD"/>
    <w:rsid w:val="00182D6B"/>
    <w:rsid w:val="001A4669"/>
    <w:rsid w:val="001C0880"/>
    <w:rsid w:val="001F4137"/>
    <w:rsid w:val="002145F5"/>
    <w:rsid w:val="0023413E"/>
    <w:rsid w:val="00262097"/>
    <w:rsid w:val="002728E5"/>
    <w:rsid w:val="00285033"/>
    <w:rsid w:val="00365A39"/>
    <w:rsid w:val="003C362E"/>
    <w:rsid w:val="003D3A58"/>
    <w:rsid w:val="003E746C"/>
    <w:rsid w:val="00410B5C"/>
    <w:rsid w:val="00441396"/>
    <w:rsid w:val="00463780"/>
    <w:rsid w:val="00482F60"/>
    <w:rsid w:val="004B5C07"/>
    <w:rsid w:val="004E43DE"/>
    <w:rsid w:val="00503BBE"/>
    <w:rsid w:val="00545168"/>
    <w:rsid w:val="00546C7B"/>
    <w:rsid w:val="00553156"/>
    <w:rsid w:val="00572A6A"/>
    <w:rsid w:val="005A484D"/>
    <w:rsid w:val="006C296C"/>
    <w:rsid w:val="007117AD"/>
    <w:rsid w:val="0071256E"/>
    <w:rsid w:val="00717070"/>
    <w:rsid w:val="00717A89"/>
    <w:rsid w:val="00734FEA"/>
    <w:rsid w:val="00737F3F"/>
    <w:rsid w:val="007434A7"/>
    <w:rsid w:val="007579C6"/>
    <w:rsid w:val="007A062E"/>
    <w:rsid w:val="007B7531"/>
    <w:rsid w:val="008675FF"/>
    <w:rsid w:val="008D34AC"/>
    <w:rsid w:val="00950DB8"/>
    <w:rsid w:val="009624B8"/>
    <w:rsid w:val="009705B1"/>
    <w:rsid w:val="00976A85"/>
    <w:rsid w:val="009842EB"/>
    <w:rsid w:val="00990479"/>
    <w:rsid w:val="009A535A"/>
    <w:rsid w:val="009C6DBA"/>
    <w:rsid w:val="00A24430"/>
    <w:rsid w:val="00A42579"/>
    <w:rsid w:val="00A94220"/>
    <w:rsid w:val="00AA3F23"/>
    <w:rsid w:val="00AB2CEE"/>
    <w:rsid w:val="00AD67BB"/>
    <w:rsid w:val="00AE772B"/>
    <w:rsid w:val="00B3191E"/>
    <w:rsid w:val="00BC15CB"/>
    <w:rsid w:val="00BD6F88"/>
    <w:rsid w:val="00C021AA"/>
    <w:rsid w:val="00C71110"/>
    <w:rsid w:val="00C82AEC"/>
    <w:rsid w:val="00C8422A"/>
    <w:rsid w:val="00CA344D"/>
    <w:rsid w:val="00CB6929"/>
    <w:rsid w:val="00CB6B11"/>
    <w:rsid w:val="00CD72E9"/>
    <w:rsid w:val="00CE4D74"/>
    <w:rsid w:val="00D25F18"/>
    <w:rsid w:val="00D32DB2"/>
    <w:rsid w:val="00D477F0"/>
    <w:rsid w:val="00D5303A"/>
    <w:rsid w:val="00D7588B"/>
    <w:rsid w:val="00DD43EA"/>
    <w:rsid w:val="00E84FD5"/>
    <w:rsid w:val="00EB32AD"/>
    <w:rsid w:val="00F00D42"/>
    <w:rsid w:val="00F10D82"/>
    <w:rsid w:val="00F2775B"/>
    <w:rsid w:val="00F311B5"/>
    <w:rsid w:val="00F368DE"/>
    <w:rsid w:val="00F92492"/>
    <w:rsid w:val="00FA3EAB"/>
    <w:rsid w:val="00FB399C"/>
    <w:rsid w:val="00FF183D"/>
    <w:rsid w:val="205B6308"/>
    <w:rsid w:val="73FF00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ind w:left="340" w:hanging="340"/>
      <w:jc w:val="both"/>
    </w:pPr>
    <w:rPr>
      <w:rFonts w:ascii="Times New Roman" w:hAnsi="Times New Roman" w:eastAsia="宋体"/>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Style w:val="6"/>
      <w:tblCellMar>
        <w:top w:w="0" w:type="dxa"/>
        <w:left w:w="108" w:type="dxa"/>
        <w:bottom w:w="0" w:type="dxa"/>
        <w:right w:w="108" w:type="dxa"/>
      </w:tblCellMar>
    </w:tblPr>
    <w:trPr>
      <w:wBefore w:w="0" w:type="dxa"/>
    </w:trPr>
  </w:style>
  <w:style w:type="paragraph" w:styleId="2">
    <w:name w:val="Balloon Text"/>
    <w:basedOn w:val="1"/>
    <w:link w:val="15"/>
    <w:unhideWhenUsed/>
    <w:uiPriority w:val="99"/>
    <w:pPr>
      <w:widowControl w:val="0"/>
      <w:spacing w:line="240" w:lineRule="auto"/>
      <w:ind w:left="0" w:firstLine="0"/>
    </w:pPr>
    <w:rPr>
      <w:kern w:val="0"/>
      <w:sz w:val="18"/>
      <w:szCs w:val="18"/>
    </w:rPr>
  </w:style>
  <w:style w:type="paragraph" w:styleId="3">
    <w:name w:val="footer"/>
    <w:basedOn w:val="1"/>
    <w:link w:val="10"/>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uiPriority w:val="0"/>
    <w:pPr>
      <w:spacing w:before="100" w:beforeAutospacing="1" w:after="100" w:afterAutospacing="1" w:line="240" w:lineRule="auto"/>
      <w:ind w:left="0" w:firstLine="0"/>
      <w:jc w:val="left"/>
    </w:pPr>
    <w:rPr>
      <w:rFonts w:ascii="宋体" w:hAnsi="宋体" w:cs="宋体"/>
      <w:kern w:val="0"/>
      <w:sz w:val="24"/>
      <w:szCs w:val="24"/>
    </w:rPr>
  </w:style>
  <w:style w:type="character" w:styleId="8">
    <w:name w:val="Hyperlink"/>
    <w:unhideWhenUsed/>
    <w:uiPriority w:val="99"/>
    <w:rPr>
      <w:color w:val="0563C1"/>
      <w:u w:val="single"/>
    </w:rPr>
  </w:style>
  <w:style w:type="character" w:customStyle="1" w:styleId="9">
    <w:name w:val="页眉 Char1"/>
    <w:link w:val="4"/>
    <w:uiPriority w:val="99"/>
    <w:rPr>
      <w:rFonts w:ascii="Times New Roman" w:hAnsi="Times New Roman" w:eastAsia="宋体" w:cs="Times New Roman"/>
      <w:sz w:val="18"/>
      <w:szCs w:val="18"/>
    </w:rPr>
  </w:style>
  <w:style w:type="character" w:customStyle="1" w:styleId="10">
    <w:name w:val="页脚 Char1"/>
    <w:link w:val="3"/>
    <w:uiPriority w:val="99"/>
    <w:rPr>
      <w:rFonts w:ascii="Times New Roman" w:hAnsi="Times New Roman" w:eastAsia="宋体" w:cs="Times New Roman"/>
      <w:sz w:val="18"/>
      <w:szCs w:val="18"/>
    </w:rPr>
  </w:style>
  <w:style w:type="character" w:customStyle="1" w:styleId="11">
    <w:name w:val="页眉 Char"/>
    <w:uiPriority w:val="0"/>
    <w:rPr>
      <w:sz w:val="18"/>
      <w:szCs w:val="18"/>
    </w:rPr>
  </w:style>
  <w:style w:type="character" w:customStyle="1" w:styleId="12">
    <w:name w:val="页脚 Char"/>
    <w:uiPriority w:val="99"/>
    <w:rPr>
      <w:sz w:val="18"/>
      <w:szCs w:val="18"/>
    </w:rPr>
  </w:style>
  <w:style w:type="paragraph" w:styleId="13">
    <w:name w:val="List Paragraph"/>
    <w:basedOn w:val="1"/>
    <w:qFormat/>
    <w:uiPriority w:val="34"/>
    <w:pPr>
      <w:widowControl w:val="0"/>
      <w:spacing w:line="400" w:lineRule="exact"/>
      <w:ind w:left="0" w:firstLine="420" w:firstLineChars="200"/>
    </w:pPr>
    <w:rPr>
      <w:rFonts w:ascii="宋体" w:hAnsi="宋体"/>
      <w:color w:val="000000"/>
      <w:szCs w:val="21"/>
    </w:rPr>
  </w:style>
  <w:style w:type="character" w:customStyle="1" w:styleId="14">
    <w:name w:val="批注框文本 字符"/>
    <w:semiHidden/>
    <w:uiPriority w:val="99"/>
    <w:rPr>
      <w:rFonts w:ascii="Times New Roman" w:hAnsi="Times New Roman" w:eastAsia="宋体" w:cs="Times New Roman"/>
      <w:sz w:val="18"/>
      <w:szCs w:val="18"/>
    </w:rPr>
  </w:style>
  <w:style w:type="character" w:customStyle="1" w:styleId="15">
    <w:name w:val="批注框文本 Char"/>
    <w:link w:val="2"/>
    <w:uiPriority w:val="99"/>
    <w:rPr>
      <w:rFonts w:ascii="Times New Roman" w:hAnsi="Times New Roman" w:eastAsia="宋体" w:cs="Times New Roman"/>
      <w:sz w:val="18"/>
      <w:szCs w:val="18"/>
    </w:rPr>
  </w:style>
  <w:style w:type="paragraph" w:customStyle="1" w:styleId="16">
    <w:name w:val="样式6"/>
    <w:basedOn w:val="1"/>
    <w:qFormat/>
    <w:uiPriority w:val="0"/>
    <w:pPr>
      <w:widowControl w:val="0"/>
      <w:spacing w:line="288" w:lineRule="auto"/>
      <w:ind w:left="0" w:firstLine="420" w:firstLineChars="200"/>
    </w:pPr>
    <w:rPr>
      <w:rFonts w:ascii="宋体" w:hAnsi="宋体"/>
      <w:szCs w:val="21"/>
    </w:rPr>
  </w:style>
  <w:style w:type="paragraph" w:customStyle="1" w:styleId="17">
    <w:name w:val="_Style 2"/>
    <w:basedOn w:val="1"/>
    <w:qFormat/>
    <w:uiPriority w:val="34"/>
    <w:pPr>
      <w:widowControl w:val="0"/>
      <w:spacing w:line="400" w:lineRule="exact"/>
      <w:ind w:left="0" w:firstLine="420" w:firstLineChars="200"/>
    </w:pPr>
    <w:rPr>
      <w:rFonts w:ascii="宋体" w:hAnsi="宋体"/>
      <w:color w:val="000000"/>
      <w:szCs w:val="21"/>
    </w:rPr>
  </w:style>
  <w:style w:type="paragraph" w:customStyle="1" w:styleId="18">
    <w:name w:val="列出段落1"/>
    <w:basedOn w:val="1"/>
    <w:qFormat/>
    <w:uiPriority w:val="34"/>
    <w:pPr>
      <w:widowControl w:val="0"/>
      <w:spacing w:line="240" w:lineRule="auto"/>
      <w:ind w:left="0"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TotalTime>0</TotalTime>
  <ScaleCrop>false</ScaleCrop>
  <LinksUpToDate>false</LinksUpToDate>
  <CharactersWithSpaces>848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2021-09-16T01:51:00Z</dcterms:created>
  <dc:creator>单田雨</dc:creator>
  <cp:lastModifiedBy>vertesyuan</cp:lastModifiedBy>
  <dcterms:modified xsi:type="dcterms:W3CDTF">2024-01-08T07:03:22Z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6442FE84EFC647EAB4A5ABC9F35C9C68_13</vt:lpwstr>
  </property>
</Properties>
</file>