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8" w:lineRule="auto"/>
        <w:rPr>
          <w:rFonts w:ascii="Arial"/>
          <w:sz w:val="21"/>
        </w:rPr>
      </w:pPr>
      <w:r/>
    </w:p>
    <w:p>
      <w:pPr>
        <w:ind w:left="1620"/>
        <w:spacing w:before="150" w:line="177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4"/>
        </w:rPr>
        <w:t>434  国际商务专业基础考试大纲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1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一、考查目标</w:t>
      </w:r>
    </w:p>
    <w:p>
      <w:pPr>
        <w:pStyle w:val="BodyText"/>
        <w:ind w:left="35" w:right="13" w:firstLine="637"/>
        <w:spacing w:before="243" w:line="365" w:lineRule="auto"/>
        <w:jc w:val="both"/>
        <w:rPr/>
      </w:pPr>
      <w:r>
        <w:rPr>
          <w:spacing w:val="8"/>
        </w:rPr>
        <w:t>《国际商务专业基础》考试旨在全面、深入评估考生是</w:t>
      </w:r>
      <w:r>
        <w:rPr>
          <w:spacing w:val="11"/>
        </w:rPr>
        <w:t xml:space="preserve"> </w:t>
      </w:r>
      <w:r>
        <w:rPr>
          <w:spacing w:val="8"/>
        </w:rPr>
        <w:t>否具备攻读国际商务专业硕士学位所需的专业基础、综合素</w:t>
      </w:r>
      <w:r>
        <w:rPr>
          <w:spacing w:val="16"/>
        </w:rPr>
        <w:t xml:space="preserve"> </w:t>
      </w:r>
      <w:r>
        <w:rPr>
          <w:spacing w:val="8"/>
        </w:rPr>
        <w:t>质和潜力，选拔出具备扎实专业基础、较强综合素质和潜力</w:t>
      </w:r>
      <w:r>
        <w:rPr>
          <w:spacing w:val="16"/>
        </w:rPr>
        <w:t xml:space="preserve"> </w:t>
      </w:r>
      <w:r>
        <w:rPr>
          <w:spacing w:val="8"/>
        </w:rPr>
        <w:t>的优秀考生，为培养具备全球视野、国际化经营思维和创新</w:t>
      </w:r>
      <w:r>
        <w:rPr>
          <w:spacing w:val="13"/>
        </w:rPr>
        <w:t xml:space="preserve"> </w:t>
      </w:r>
      <w:r>
        <w:rPr>
          <w:spacing w:val="8"/>
        </w:rPr>
        <w:t>精神的高级国际商务专门人才奠定坚实基础。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34" w:right="13" w:firstLine="643"/>
        <w:spacing w:before="101" w:line="365" w:lineRule="auto"/>
        <w:rPr/>
      </w:pPr>
      <w:r>
        <w:rPr>
          <w:spacing w:val="8"/>
        </w:rPr>
        <w:t>本科目具体考查学生是否正确理解、掌握国际商务领域</w:t>
      </w:r>
      <w:r>
        <w:rPr>
          <w:spacing w:val="7"/>
        </w:rPr>
        <w:t xml:space="preserve"> </w:t>
      </w:r>
      <w:r>
        <w:rPr>
          <w:spacing w:val="6"/>
        </w:rPr>
        <w:t>的基础知识与理论，如国际商务环境分析、</w:t>
      </w:r>
      <w:r>
        <w:rPr>
          <w:spacing w:val="-86"/>
        </w:rPr>
        <w:t xml:space="preserve"> </w:t>
      </w:r>
      <w:r>
        <w:rPr>
          <w:spacing w:val="6"/>
        </w:rPr>
        <w:t>国际贸易理论、</w:t>
      </w:r>
      <w:r>
        <w:rPr/>
        <w:t xml:space="preserve"> </w:t>
      </w:r>
      <w:r>
        <w:rPr>
          <w:spacing w:val="8"/>
        </w:rPr>
        <w:t>投资与金融理论、国际企业的战略、组织与运营等。考查学</w:t>
      </w:r>
      <w:r>
        <w:rPr>
          <w:spacing w:val="17"/>
        </w:rPr>
        <w:t xml:space="preserve"> </w:t>
      </w:r>
      <w:r>
        <w:rPr>
          <w:spacing w:val="21"/>
        </w:rPr>
        <w:t>生是否能结合所学理论，熟练运用现代商务分析工具和方</w:t>
      </w:r>
      <w:r>
        <w:rPr>
          <w:spacing w:val="7"/>
        </w:rPr>
        <w:t xml:space="preserve"> </w:t>
      </w:r>
      <w:r>
        <w:rPr>
          <w:spacing w:val="8"/>
        </w:rPr>
        <w:t>法，独立进行国际商务分析和决策。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ind w:left="31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二、考试形式和试卷结构</w:t>
      </w:r>
    </w:p>
    <w:p>
      <w:pPr>
        <w:pStyle w:val="BodyText"/>
        <w:ind w:left="348" w:right="1647" w:firstLine="19"/>
        <w:spacing w:before="243" w:line="356" w:lineRule="auto"/>
        <w:rPr/>
      </w:pPr>
      <w:r>
        <w:rPr>
          <w:spacing w:val="-1"/>
        </w:rPr>
        <w:t>1.试卷满分为</w:t>
      </w:r>
      <w:r>
        <w:rPr>
          <w:spacing w:val="-32"/>
        </w:rPr>
        <w:t xml:space="preserve"> </w:t>
      </w:r>
      <w:r>
        <w:rPr>
          <w:spacing w:val="-1"/>
        </w:rPr>
        <w:t>150</w:t>
      </w:r>
      <w:r>
        <w:rPr>
          <w:spacing w:val="-50"/>
        </w:rPr>
        <w:t xml:space="preserve"> </w:t>
      </w:r>
      <w:r>
        <w:rPr>
          <w:spacing w:val="-1"/>
        </w:rPr>
        <w:t>分，考试时间为</w:t>
      </w:r>
      <w:r>
        <w:rPr>
          <w:spacing w:val="-38"/>
        </w:rPr>
        <w:t xml:space="preserve"> </w:t>
      </w:r>
      <w:r>
        <w:rPr>
          <w:spacing w:val="-1"/>
        </w:rPr>
        <w:t>180</w:t>
      </w:r>
      <w:r>
        <w:rPr>
          <w:spacing w:val="-50"/>
        </w:rPr>
        <w:t xml:space="preserve"> </w:t>
      </w:r>
      <w:r>
        <w:rPr>
          <w:spacing w:val="-1"/>
        </w:rPr>
        <w:t>分钟。</w:t>
      </w:r>
      <w:r>
        <w:rPr/>
        <w:t xml:space="preserve"> </w:t>
      </w:r>
      <w:r>
        <w:rPr>
          <w:spacing w:val="7"/>
        </w:rPr>
        <w:t>2.答题方式为笔试、闭卷。</w:t>
      </w:r>
    </w:p>
    <w:p>
      <w:pPr>
        <w:pStyle w:val="BodyText"/>
        <w:ind w:left="350"/>
        <w:spacing w:before="54" w:line="226" w:lineRule="auto"/>
        <w:rPr/>
      </w:pPr>
      <w:r>
        <w:rPr>
          <w:spacing w:val="8"/>
        </w:rPr>
        <w:t>3.试卷题型有名词解释、辨析题、简答题、论述题。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32"/>
        <w:spacing w:before="102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三、考查范围</w:t>
      </w:r>
    </w:p>
    <w:p>
      <w:pPr>
        <w:pStyle w:val="BodyText"/>
        <w:ind w:left="48"/>
        <w:spacing w:before="241" w:line="228" w:lineRule="auto"/>
        <w:rPr/>
      </w:pPr>
      <w:r>
        <w:rPr>
          <w:b/>
          <w:bCs/>
          <w:spacing w:val="-2"/>
        </w:rPr>
        <w:t>第一部分</w:t>
      </w:r>
      <w:r>
        <w:rPr>
          <w:spacing w:val="66"/>
        </w:rPr>
        <w:t xml:space="preserve"> </w:t>
      </w:r>
      <w:r>
        <w:rPr>
          <w:b/>
          <w:bCs/>
          <w:spacing w:val="-2"/>
        </w:rPr>
        <w:t>国际商务环境</w:t>
      </w:r>
    </w:p>
    <w:p>
      <w:pPr>
        <w:spacing w:line="228" w:lineRule="auto"/>
        <w:sectPr>
          <w:headerReference w:type="default" r:id="rId1"/>
          <w:footerReference w:type="default" r:id="rId2"/>
          <w:pgSz w:w="11906" w:h="16839"/>
          <w:pgMar w:top="1104" w:right="1785" w:bottom="1443" w:left="1785" w:header="1090" w:footer="1202" w:gutter="0"/>
        </w:sectPr>
        <w:rPr/>
      </w:pP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257"/>
        <w:spacing w:before="101" w:line="228" w:lineRule="auto"/>
        <w:rPr/>
      </w:pPr>
      <w:r>
        <w:rPr>
          <w:spacing w:val="4"/>
        </w:rPr>
        <w:t>第一章</w:t>
      </w:r>
      <w:r>
        <w:rPr>
          <w:spacing w:val="34"/>
        </w:rPr>
        <w:t xml:space="preserve"> </w:t>
      </w:r>
      <w:r>
        <w:rPr>
          <w:spacing w:val="4"/>
        </w:rPr>
        <w:t>全球化与国际商务</w:t>
      </w:r>
    </w:p>
    <w:p>
      <w:pPr>
        <w:pStyle w:val="BodyText"/>
        <w:ind w:left="449" w:right="3422" w:firstLine="19"/>
        <w:spacing w:before="242" w:line="356" w:lineRule="auto"/>
        <w:rPr/>
      </w:pPr>
      <w:r>
        <w:rPr>
          <w:spacing w:val="6"/>
        </w:rPr>
        <w:t>1.全球化的表现、推动力及争论</w:t>
      </w:r>
      <w:r>
        <w:rPr>
          <w:spacing w:val="12"/>
        </w:rPr>
        <w:t xml:space="preserve"> </w:t>
      </w:r>
      <w:r>
        <w:rPr>
          <w:spacing w:val="8"/>
        </w:rPr>
        <w:t>2.国际商务的含义、表现及发展</w:t>
      </w:r>
    </w:p>
    <w:p>
      <w:pPr>
        <w:pStyle w:val="BodyText"/>
        <w:ind w:left="257"/>
        <w:spacing w:before="51" w:line="226" w:lineRule="auto"/>
        <w:rPr/>
      </w:pPr>
      <w:r>
        <w:rPr>
          <w:spacing w:val="7"/>
        </w:rPr>
        <w:t>第二章</w:t>
      </w:r>
      <w:r>
        <w:rPr>
          <w:spacing w:val="7"/>
        </w:rPr>
        <w:t xml:space="preserve"> </w:t>
      </w:r>
      <w:r>
        <w:rPr>
          <w:spacing w:val="7"/>
        </w:rPr>
        <w:t>政治、经济和法律体系中的国家差异</w:t>
      </w:r>
    </w:p>
    <w:p>
      <w:pPr>
        <w:pStyle w:val="BodyText"/>
        <w:ind w:left="449" w:right="4062" w:firstLine="19"/>
        <w:spacing w:before="244" w:line="361" w:lineRule="auto"/>
        <w:jc w:val="both"/>
        <w:rPr/>
      </w:pPr>
      <w:r>
        <w:rPr>
          <w:spacing w:val="6"/>
        </w:rPr>
        <w:t>1.国际商务的政治环境差异</w:t>
      </w:r>
      <w:r>
        <w:rPr>
          <w:spacing w:val="3"/>
        </w:rPr>
        <w:t xml:space="preserve"> </w:t>
      </w:r>
      <w:r>
        <w:rPr>
          <w:spacing w:val="7"/>
        </w:rPr>
        <w:t>2.国际商务的经济环境差异</w:t>
      </w:r>
      <w:r>
        <w:rPr>
          <w:spacing w:val="10"/>
        </w:rPr>
        <w:t xml:space="preserve"> </w:t>
      </w:r>
      <w:r>
        <w:rPr>
          <w:spacing w:val="7"/>
        </w:rPr>
        <w:t>3.国际商务的法律环境差异</w:t>
      </w:r>
    </w:p>
    <w:p>
      <w:pPr>
        <w:pStyle w:val="BodyText"/>
        <w:ind w:left="443"/>
        <w:spacing w:before="53" w:line="226" w:lineRule="auto"/>
        <w:rPr/>
      </w:pPr>
      <w:r>
        <w:rPr>
          <w:spacing w:val="9"/>
        </w:rPr>
        <w:t>4.政治、经济和法律环境差异对国际商务活动的影响</w:t>
      </w:r>
    </w:p>
    <w:p>
      <w:pPr>
        <w:pStyle w:val="BodyText"/>
        <w:ind w:left="257"/>
        <w:spacing w:before="244" w:line="228" w:lineRule="auto"/>
        <w:rPr/>
      </w:pPr>
      <w:r>
        <w:rPr>
          <w:spacing w:val="2"/>
        </w:rPr>
        <w:t>第三章</w:t>
      </w:r>
      <w:r>
        <w:rPr>
          <w:spacing w:val="65"/>
        </w:rPr>
        <w:t xml:space="preserve"> </w:t>
      </w:r>
      <w:r>
        <w:rPr>
          <w:spacing w:val="2"/>
        </w:rPr>
        <w:t>国际商务的文化差异</w:t>
      </w:r>
    </w:p>
    <w:p>
      <w:pPr>
        <w:pStyle w:val="BodyText"/>
        <w:ind w:left="468"/>
        <w:spacing w:before="241" w:line="228" w:lineRule="auto"/>
        <w:rPr/>
      </w:pPr>
      <w:r>
        <w:rPr>
          <w:spacing w:val="6"/>
        </w:rPr>
        <w:t>1.国际商务的文化差异概述</w:t>
      </w:r>
    </w:p>
    <w:p>
      <w:pPr>
        <w:pStyle w:val="BodyText"/>
        <w:ind w:left="449"/>
        <w:spacing w:before="241" w:line="227" w:lineRule="auto"/>
        <w:rPr/>
      </w:pPr>
      <w:r>
        <w:rPr>
          <w:spacing w:val="8"/>
        </w:rPr>
        <w:t>2.跨文化理论：文化维度理论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48"/>
        <w:spacing w:before="102" w:line="228" w:lineRule="auto"/>
        <w:rPr/>
      </w:pPr>
      <w:r>
        <w:rPr>
          <w:b/>
          <w:bCs/>
          <w:spacing w:val="-1"/>
        </w:rPr>
        <w:t>第二部分</w:t>
      </w:r>
      <w:r>
        <w:rPr>
          <w:spacing w:val="81"/>
        </w:rPr>
        <w:t xml:space="preserve"> </w:t>
      </w:r>
      <w:r>
        <w:rPr>
          <w:b/>
          <w:bCs/>
          <w:spacing w:val="-1"/>
        </w:rPr>
        <w:t>国际商务中的贸易、</w:t>
      </w:r>
      <w:r>
        <w:rPr>
          <w:spacing w:val="-89"/>
        </w:rPr>
        <w:t xml:space="preserve"> </w:t>
      </w:r>
      <w:r>
        <w:rPr>
          <w:b/>
          <w:bCs/>
          <w:spacing w:val="-1"/>
        </w:rPr>
        <w:t>国际投资与金融</w:t>
      </w:r>
    </w:p>
    <w:p>
      <w:pPr>
        <w:pStyle w:val="BodyText"/>
        <w:ind w:left="257"/>
        <w:spacing w:before="241" w:line="228" w:lineRule="auto"/>
        <w:rPr/>
      </w:pPr>
      <w:r>
        <w:rPr>
          <w:spacing w:val="-4"/>
        </w:rPr>
        <w:t>第四章</w:t>
      </w:r>
      <w:r>
        <w:rPr>
          <w:spacing w:val="66"/>
        </w:rPr>
        <w:t xml:space="preserve"> </w:t>
      </w:r>
      <w:r>
        <w:rPr>
          <w:spacing w:val="-4"/>
        </w:rPr>
        <w:t>国际贸易</w:t>
      </w:r>
    </w:p>
    <w:p>
      <w:pPr>
        <w:pStyle w:val="BodyText"/>
        <w:ind w:left="468"/>
        <w:spacing w:before="241" w:line="228" w:lineRule="auto"/>
        <w:rPr/>
      </w:pPr>
      <w:r>
        <w:rPr>
          <w:spacing w:val="6"/>
        </w:rPr>
        <w:t>1.国际贸易的概念、分类及意义</w:t>
      </w:r>
    </w:p>
    <w:p>
      <w:pPr>
        <w:pStyle w:val="BodyText"/>
        <w:ind w:left="465" w:right="16" w:hanging="16"/>
        <w:spacing w:before="242" w:line="356" w:lineRule="auto"/>
        <w:rPr/>
      </w:pPr>
      <w:r>
        <w:rPr>
          <w:spacing w:val="4"/>
        </w:rPr>
        <w:t>2.国际贸易理论：古典贸易理论、新古典贸易理论、新贸</w:t>
      </w:r>
      <w:r>
        <w:rPr>
          <w:spacing w:val="13"/>
        </w:rPr>
        <w:t xml:space="preserve"> </w:t>
      </w:r>
      <w:r>
        <w:rPr>
          <w:spacing w:val="2"/>
        </w:rPr>
        <w:t>易理论、</w:t>
      </w:r>
      <w:r>
        <w:rPr>
          <w:spacing w:val="-92"/>
        </w:rPr>
        <w:t xml:space="preserve"> </w:t>
      </w:r>
      <w:r>
        <w:rPr>
          <w:spacing w:val="2"/>
        </w:rPr>
        <w:t>国家竞争优势理论</w:t>
      </w:r>
    </w:p>
    <w:p>
      <w:pPr>
        <w:pStyle w:val="BodyText"/>
        <w:ind w:left="443" w:right="542" w:firstLine="7"/>
        <w:spacing w:before="52" w:line="356" w:lineRule="auto"/>
        <w:rPr/>
      </w:pPr>
      <w:r>
        <w:rPr>
          <w:spacing w:val="8"/>
        </w:rPr>
        <w:t>3.国际贸易政策：幼稚工业保护政策、战略贸易政策</w:t>
      </w:r>
      <w:r>
        <w:rPr>
          <w:spacing w:val="17"/>
        </w:rPr>
        <w:t xml:space="preserve"> </w:t>
      </w:r>
      <w:r>
        <w:rPr>
          <w:spacing w:val="9"/>
        </w:rPr>
        <w:t>4.干预贸易的手段和方法：关税与非关税</w:t>
      </w:r>
      <w:r>
        <w:rPr>
          <w:spacing w:val="8"/>
        </w:rPr>
        <w:t>措施</w:t>
      </w:r>
    </w:p>
    <w:p>
      <w:pPr>
        <w:pStyle w:val="BodyText"/>
        <w:ind w:left="451"/>
        <w:spacing w:before="52" w:line="229" w:lineRule="auto"/>
        <w:rPr/>
      </w:pPr>
      <w:r>
        <w:rPr>
          <w:spacing w:val="5"/>
        </w:rPr>
        <w:t>5.不公平贸易</w:t>
      </w:r>
    </w:p>
    <w:p>
      <w:pPr>
        <w:pStyle w:val="BodyText"/>
        <w:ind w:left="447"/>
        <w:spacing w:before="240" w:line="228" w:lineRule="auto"/>
        <w:rPr/>
      </w:pPr>
      <w:r>
        <w:rPr>
          <w:spacing w:val="8"/>
        </w:rPr>
        <w:t>6.国际贸易政策的历史演变及发展新趋势</w:t>
      </w:r>
    </w:p>
    <w:p>
      <w:pPr>
        <w:spacing w:line="228" w:lineRule="auto"/>
        <w:sectPr>
          <w:footerReference w:type="default" r:id="rId3"/>
          <w:pgSz w:w="11906" w:h="16839"/>
          <w:pgMar w:top="1104" w:right="1785" w:bottom="1443" w:left="1785" w:header="1090" w:footer="1202" w:gutter="0"/>
        </w:sectPr>
        <w:rPr/>
      </w:pP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454" w:right="102" w:hanging="2"/>
        <w:spacing w:before="101" w:line="356" w:lineRule="auto"/>
        <w:rPr/>
      </w:pPr>
      <w:r>
        <w:rPr>
          <w:spacing w:val="4"/>
        </w:rPr>
        <w:t>7.国际贸易实务：国际贸易流程、国际贸易术语、国际结</w:t>
      </w:r>
      <w:r>
        <w:rPr>
          <w:spacing w:val="12"/>
        </w:rPr>
        <w:t xml:space="preserve"> </w:t>
      </w:r>
      <w:r>
        <w:rPr>
          <w:spacing w:val="2"/>
        </w:rPr>
        <w:t>算方式</w:t>
      </w:r>
    </w:p>
    <w:p>
      <w:pPr>
        <w:pStyle w:val="BodyText"/>
        <w:ind w:left="257" w:right="2551" w:firstLine="188"/>
        <w:spacing w:before="53" w:line="356" w:lineRule="auto"/>
        <w:rPr/>
      </w:pPr>
      <w:r>
        <w:rPr>
          <w:spacing w:val="8"/>
        </w:rPr>
        <w:t>8.国际贸易协定与多边贸易体制的发展</w:t>
      </w:r>
      <w:r>
        <w:rPr>
          <w:spacing w:val="10"/>
        </w:rPr>
        <w:t xml:space="preserve"> </w:t>
      </w:r>
      <w:r>
        <w:rPr>
          <w:spacing w:val="-1"/>
        </w:rPr>
        <w:t>第五章</w:t>
      </w:r>
      <w:r>
        <w:rPr>
          <w:spacing w:val="68"/>
        </w:rPr>
        <w:t xml:space="preserve"> </w:t>
      </w:r>
      <w:r>
        <w:rPr>
          <w:spacing w:val="-1"/>
        </w:rPr>
        <w:t>国际直接投资</w:t>
      </w:r>
    </w:p>
    <w:p>
      <w:pPr>
        <w:pStyle w:val="BodyText"/>
        <w:ind w:left="449" w:firstLine="19"/>
        <w:spacing w:before="51" w:line="364" w:lineRule="auto"/>
        <w:rPr/>
      </w:pPr>
      <w:r>
        <w:rPr>
          <w:spacing w:val="8"/>
        </w:rPr>
        <w:t>1.国际直接投资与跨国公司的概念、特点、形式及发展</w:t>
      </w:r>
      <w:r>
        <w:rPr/>
        <w:t xml:space="preserve">   </w:t>
      </w:r>
      <w:r>
        <w:rPr>
          <w:spacing w:val="4"/>
        </w:rPr>
        <w:t>2.国际直接投资理论：内部化理论、垄断优势理论、产品</w:t>
      </w:r>
      <w:r>
        <w:rPr>
          <w:spacing w:val="13"/>
        </w:rPr>
        <w:t xml:space="preserve"> </w:t>
      </w:r>
      <w:r>
        <w:rPr>
          <w:spacing w:val="-4"/>
        </w:rPr>
        <w:t>的生命周期理论、国际生产折衷理论、边际产业扩张理论、</w:t>
      </w:r>
      <w:r>
        <w:rPr>
          <w:spacing w:val="17"/>
        </w:rPr>
        <w:t xml:space="preserve"> </w:t>
      </w:r>
      <w:r>
        <w:rPr>
          <w:spacing w:val="8"/>
        </w:rPr>
        <w:t>小规模技术理论、技术地方化理论</w:t>
      </w:r>
    </w:p>
    <w:p>
      <w:pPr>
        <w:pStyle w:val="BodyText"/>
        <w:ind w:left="443" w:right="2551" w:firstLine="7"/>
        <w:spacing w:before="52" w:line="356" w:lineRule="auto"/>
        <w:rPr/>
      </w:pPr>
      <w:r>
        <w:rPr>
          <w:spacing w:val="8"/>
        </w:rPr>
        <w:t>3.国际直接投资对东道国和母国的影响</w:t>
      </w:r>
      <w:r>
        <w:rPr>
          <w:spacing w:val="5"/>
        </w:rPr>
        <w:t xml:space="preserve"> </w:t>
      </w:r>
      <w:r>
        <w:rPr>
          <w:spacing w:val="8"/>
        </w:rPr>
        <w:t>4.政府政策工具与国际直接投资</w:t>
      </w:r>
    </w:p>
    <w:p>
      <w:pPr>
        <w:pStyle w:val="BodyText"/>
        <w:ind w:left="257"/>
        <w:spacing w:before="52" w:line="228" w:lineRule="auto"/>
        <w:rPr/>
      </w:pPr>
      <w:r>
        <w:rPr>
          <w:spacing w:val="-4"/>
        </w:rPr>
        <w:t>第六章</w:t>
      </w:r>
      <w:r>
        <w:rPr>
          <w:spacing w:val="66"/>
        </w:rPr>
        <w:t xml:space="preserve"> </w:t>
      </w:r>
      <w:r>
        <w:rPr>
          <w:spacing w:val="-4"/>
        </w:rPr>
        <w:t>国际金融</w:t>
      </w:r>
    </w:p>
    <w:p>
      <w:pPr>
        <w:pStyle w:val="BodyText"/>
        <w:ind w:left="456" w:right="105" w:firstLine="12"/>
        <w:spacing w:before="241" w:line="356" w:lineRule="auto"/>
        <w:rPr/>
      </w:pPr>
      <w:r>
        <w:rPr>
          <w:spacing w:val="4"/>
        </w:rPr>
        <w:t>1.国际货币体系的发展及改革：从国际金</w:t>
      </w:r>
      <w:r>
        <w:rPr>
          <w:spacing w:val="3"/>
        </w:rPr>
        <w:t>本位制到牙买加</w:t>
      </w:r>
      <w:r>
        <w:rPr/>
        <w:t xml:space="preserve"> </w:t>
      </w:r>
      <w:r>
        <w:rPr>
          <w:spacing w:val="-3"/>
        </w:rPr>
        <w:t>体系</w:t>
      </w:r>
    </w:p>
    <w:p>
      <w:pPr>
        <w:pStyle w:val="BodyText"/>
        <w:ind w:left="449"/>
        <w:spacing w:before="52" w:line="227" w:lineRule="auto"/>
        <w:rPr/>
      </w:pPr>
      <w:r>
        <w:rPr>
          <w:spacing w:val="8"/>
        </w:rPr>
        <w:t>2.固定汇率制度与浮动汇率制度</w:t>
      </w:r>
    </w:p>
    <w:p>
      <w:pPr>
        <w:pStyle w:val="BodyText"/>
        <w:ind w:left="443" w:right="3191" w:firstLine="7"/>
        <w:spacing w:before="243" w:line="356" w:lineRule="auto"/>
        <w:rPr/>
      </w:pPr>
      <w:r>
        <w:rPr>
          <w:spacing w:val="8"/>
        </w:rPr>
        <w:t>3.人民币汇率改革及人民币国际化</w:t>
      </w:r>
      <w:r>
        <w:rPr/>
        <w:t xml:space="preserve"> </w:t>
      </w:r>
      <w:r>
        <w:rPr>
          <w:spacing w:val="8"/>
        </w:rPr>
        <w:t>4.外汇市场与外汇业务</w:t>
      </w:r>
    </w:p>
    <w:p>
      <w:pPr>
        <w:pStyle w:val="BodyText"/>
        <w:ind w:left="447" w:right="950" w:firstLine="3"/>
        <w:spacing w:before="52" w:line="356" w:lineRule="auto"/>
        <w:rPr/>
      </w:pPr>
      <w:r>
        <w:rPr>
          <w:spacing w:val="8"/>
        </w:rPr>
        <w:t>5.汇率决定理论：购买力平价理论、利率平价理论</w:t>
      </w:r>
      <w:r>
        <w:rPr>
          <w:spacing w:val="16"/>
        </w:rPr>
        <w:t xml:space="preserve"> </w:t>
      </w:r>
      <w:r>
        <w:rPr>
          <w:spacing w:val="7"/>
        </w:rPr>
        <w:t>6.外汇市场的风险</w:t>
      </w:r>
    </w:p>
    <w:p>
      <w:pPr>
        <w:pStyle w:val="BodyText"/>
        <w:ind w:left="459" w:right="105" w:hanging="7"/>
        <w:spacing w:before="52" w:line="356" w:lineRule="auto"/>
        <w:rPr/>
      </w:pPr>
      <w:r>
        <w:rPr>
          <w:spacing w:val="4"/>
        </w:rPr>
        <w:t>7.国际金融市场：国际货币市场、国际债券市场和国际股</w:t>
      </w:r>
      <w:r>
        <w:rPr>
          <w:spacing w:val="9"/>
        </w:rPr>
        <w:t xml:space="preserve"> </w:t>
      </w:r>
      <w:r>
        <w:rPr>
          <w:spacing w:val="1"/>
        </w:rPr>
        <w:t>票市场</w:t>
      </w:r>
    </w:p>
    <w:p>
      <w:pPr>
        <w:pStyle w:val="BodyText"/>
        <w:ind w:left="257"/>
        <w:spacing w:before="54" w:line="226" w:lineRule="auto"/>
        <w:rPr/>
      </w:pPr>
      <w:r>
        <w:rPr>
          <w:spacing w:val="2"/>
        </w:rPr>
        <w:t>第七章</w:t>
      </w:r>
      <w:r>
        <w:rPr>
          <w:spacing w:val="65"/>
        </w:rPr>
        <w:t xml:space="preserve"> </w:t>
      </w:r>
      <w:r>
        <w:rPr>
          <w:spacing w:val="2"/>
        </w:rPr>
        <w:t>国际区域经济一体化</w:t>
      </w:r>
    </w:p>
    <w:p>
      <w:pPr>
        <w:pStyle w:val="BodyText"/>
        <w:ind w:left="468"/>
        <w:spacing w:before="244" w:line="226" w:lineRule="auto"/>
        <w:rPr/>
      </w:pPr>
      <w:r>
        <w:rPr>
          <w:spacing w:val="6"/>
        </w:rPr>
        <w:t>1.国际区域经济一体化的类型</w:t>
      </w:r>
    </w:p>
    <w:p>
      <w:pPr>
        <w:spacing w:line="226" w:lineRule="auto"/>
        <w:sectPr>
          <w:headerReference w:type="default" r:id="rId4"/>
          <w:footerReference w:type="default" r:id="rId5"/>
          <w:pgSz w:w="11906" w:h="16839"/>
          <w:pgMar w:top="1104" w:right="1696" w:bottom="1443" w:left="1785" w:header="1090" w:footer="1202" w:gutter="0"/>
        </w:sectPr>
        <w:rPr/>
      </w:pP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449"/>
        <w:spacing w:before="100" w:line="226" w:lineRule="auto"/>
        <w:rPr/>
      </w:pPr>
      <w:r>
        <w:rPr>
          <w:spacing w:val="8"/>
        </w:rPr>
        <w:t>2.国际区域经济一体化的依据</w:t>
      </w:r>
    </w:p>
    <w:p>
      <w:pPr>
        <w:pStyle w:val="BodyText"/>
        <w:ind w:left="469" w:right="16" w:hanging="18"/>
        <w:spacing w:before="244" w:line="356" w:lineRule="auto"/>
        <w:rPr/>
      </w:pPr>
      <w:r>
        <w:rPr>
          <w:spacing w:val="4"/>
        </w:rPr>
        <w:t>3.国际区域经济一体化组织：欧盟、北美自由贸易区、东</w:t>
      </w:r>
      <w:r>
        <w:rPr>
          <w:spacing w:val="11"/>
        </w:rPr>
        <w:t xml:space="preserve"> </w:t>
      </w:r>
      <w:r>
        <w:rPr>
          <w:spacing w:val="6"/>
        </w:rPr>
        <w:t>南亚国家联盟、</w:t>
      </w:r>
      <w:r>
        <w:rPr/>
        <w:t>RCEP</w:t>
      </w:r>
      <w:r>
        <w:rPr>
          <w:spacing w:val="-39"/>
        </w:rPr>
        <w:t xml:space="preserve"> </w:t>
      </w:r>
      <w:r>
        <w:rPr>
          <w:spacing w:val="6"/>
        </w:rPr>
        <w:t>等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48"/>
        <w:spacing w:before="101" w:line="228" w:lineRule="auto"/>
        <w:rPr/>
      </w:pPr>
      <w:r>
        <w:rPr>
          <w:b/>
          <w:bCs/>
          <w:spacing w:val="1"/>
        </w:rPr>
        <w:t>第三部分</w:t>
      </w:r>
      <w:r>
        <w:rPr>
          <w:spacing w:val="65"/>
        </w:rPr>
        <w:t xml:space="preserve"> </w:t>
      </w:r>
      <w:r>
        <w:rPr>
          <w:b/>
          <w:bCs/>
          <w:spacing w:val="1"/>
        </w:rPr>
        <w:t>国际企业的战略与组织</w:t>
      </w:r>
    </w:p>
    <w:p>
      <w:pPr>
        <w:pStyle w:val="BodyText"/>
        <w:ind w:left="468" w:right="4751" w:hanging="211"/>
        <w:spacing w:before="241" w:line="356" w:lineRule="auto"/>
        <w:rPr/>
      </w:pPr>
      <w:r>
        <w:rPr/>
        <w:t>第八章</w:t>
      </w:r>
      <w:r>
        <w:rPr>
          <w:spacing w:val="68"/>
        </w:rPr>
        <w:t xml:space="preserve"> </w:t>
      </w:r>
      <w:r>
        <w:rPr/>
        <w:t>国际企业的战略</w:t>
      </w:r>
      <w:r>
        <w:rPr/>
        <w:t xml:space="preserve"> </w:t>
      </w:r>
      <w:r>
        <w:rPr>
          <w:spacing w:val="5"/>
        </w:rPr>
        <w:t>1.战略的概念及分类</w:t>
      </w:r>
    </w:p>
    <w:p>
      <w:pPr>
        <w:pStyle w:val="BodyText"/>
        <w:ind w:left="451" w:right="3422" w:hanging="2"/>
        <w:spacing w:before="54" w:line="355" w:lineRule="auto"/>
        <w:rPr/>
      </w:pPr>
      <w:r>
        <w:rPr>
          <w:spacing w:val="8"/>
        </w:rPr>
        <w:t>2.企业的价值创造活动与价值链</w:t>
      </w:r>
      <w:r>
        <w:rPr>
          <w:spacing w:val="2"/>
        </w:rPr>
        <w:t xml:space="preserve"> </w:t>
      </w:r>
      <w:r>
        <w:rPr>
          <w:spacing w:val="-1"/>
        </w:rPr>
        <w:t>3.IR</w:t>
      </w:r>
      <w:r>
        <w:rPr>
          <w:spacing w:val="-50"/>
        </w:rPr>
        <w:t xml:space="preserve"> </w:t>
      </w:r>
      <w:r>
        <w:rPr>
          <w:spacing w:val="-1"/>
        </w:rPr>
        <w:t>框架</w:t>
      </w:r>
    </w:p>
    <w:p>
      <w:pPr>
        <w:pStyle w:val="BodyText"/>
        <w:ind w:left="443"/>
        <w:spacing w:before="54" w:line="226" w:lineRule="auto"/>
        <w:rPr/>
      </w:pPr>
      <w:r>
        <w:rPr>
          <w:spacing w:val="8"/>
        </w:rPr>
        <w:t>4.国际企业战略的类型与选择</w:t>
      </w:r>
    </w:p>
    <w:p>
      <w:pPr>
        <w:pStyle w:val="BodyText"/>
        <w:ind w:left="257" w:right="4701" w:firstLine="193"/>
        <w:spacing w:before="245" w:line="356" w:lineRule="auto"/>
        <w:rPr/>
      </w:pPr>
      <w:r>
        <w:rPr>
          <w:spacing w:val="7"/>
        </w:rPr>
        <w:t>5.国际企业战略的演化</w:t>
      </w:r>
      <w:r>
        <w:rPr>
          <w:spacing w:val="3"/>
        </w:rPr>
        <w:t xml:space="preserve"> </w:t>
      </w:r>
      <w:r>
        <w:rPr/>
        <w:t>第九章</w:t>
      </w:r>
      <w:r>
        <w:rPr>
          <w:spacing w:val="68"/>
        </w:rPr>
        <w:t xml:space="preserve"> </w:t>
      </w:r>
      <w:r>
        <w:rPr/>
        <w:t>国际企业的组织</w:t>
      </w:r>
    </w:p>
    <w:p>
      <w:pPr>
        <w:pStyle w:val="BodyText"/>
        <w:ind w:left="468"/>
        <w:spacing w:before="52" w:line="229" w:lineRule="auto"/>
        <w:rPr/>
      </w:pPr>
      <w:r>
        <w:rPr>
          <w:spacing w:val="6"/>
        </w:rPr>
        <w:t>1.企业组织构架与组织结构</w:t>
      </w:r>
    </w:p>
    <w:p>
      <w:pPr>
        <w:pStyle w:val="BodyText"/>
        <w:ind w:left="451" w:right="4701" w:hanging="2"/>
        <w:spacing w:before="240" w:line="356" w:lineRule="auto"/>
        <w:rPr/>
      </w:pPr>
      <w:r>
        <w:rPr>
          <w:spacing w:val="7"/>
        </w:rPr>
        <w:t>2.控制系统与奖励机制</w:t>
      </w:r>
      <w:r>
        <w:rPr>
          <w:spacing w:val="5"/>
        </w:rPr>
        <w:t xml:space="preserve"> </w:t>
      </w:r>
      <w:r>
        <w:rPr>
          <w:spacing w:val="6"/>
        </w:rPr>
        <w:t>3.流程与组织文化</w:t>
      </w:r>
    </w:p>
    <w:p>
      <w:pPr>
        <w:pStyle w:val="BodyText"/>
        <w:ind w:left="450" w:right="3422" w:hanging="7"/>
        <w:spacing w:before="52" w:line="356" w:lineRule="auto"/>
        <w:rPr/>
      </w:pPr>
      <w:r>
        <w:rPr>
          <w:spacing w:val="8"/>
        </w:rPr>
        <w:t>4.战略、结构与控制系统的综合</w:t>
      </w:r>
      <w:r>
        <w:rPr>
          <w:spacing w:val="7"/>
        </w:rPr>
        <w:t xml:space="preserve"> </w:t>
      </w:r>
      <w:r>
        <w:rPr>
          <w:spacing w:val="5"/>
        </w:rPr>
        <w:t>5.组织变革</w:t>
      </w:r>
    </w:p>
    <w:p>
      <w:pPr>
        <w:pStyle w:val="BodyText"/>
        <w:ind w:left="468" w:right="4110" w:hanging="211"/>
        <w:spacing w:before="53" w:line="356" w:lineRule="auto"/>
        <w:rPr/>
      </w:pPr>
      <w:r>
        <w:rPr>
          <w:spacing w:val="6"/>
        </w:rPr>
        <w:t>第十章</w:t>
      </w:r>
      <w:r>
        <w:rPr>
          <w:spacing w:val="6"/>
        </w:rPr>
        <w:t xml:space="preserve"> </w:t>
      </w:r>
      <w:r>
        <w:rPr>
          <w:spacing w:val="6"/>
        </w:rPr>
        <w:t>进入战略与战略联盟</w:t>
      </w:r>
      <w:r>
        <w:rPr>
          <w:spacing w:val="11"/>
        </w:rPr>
        <w:t xml:space="preserve"> </w:t>
      </w:r>
      <w:r>
        <w:rPr>
          <w:spacing w:val="4"/>
        </w:rPr>
        <w:t>1.基本进入决策</w:t>
      </w:r>
    </w:p>
    <w:p>
      <w:pPr>
        <w:pStyle w:val="BodyText"/>
        <w:ind w:left="449"/>
        <w:spacing w:before="52" w:line="226" w:lineRule="auto"/>
        <w:rPr/>
      </w:pPr>
      <w:r>
        <w:rPr>
          <w:spacing w:val="7"/>
        </w:rPr>
        <w:t>2.进入模式的比较及选择</w:t>
      </w:r>
    </w:p>
    <w:p>
      <w:pPr>
        <w:pStyle w:val="BodyText"/>
        <w:ind w:left="443" w:right="3422" w:firstLine="7"/>
        <w:spacing w:before="244" w:line="355" w:lineRule="auto"/>
        <w:rPr/>
      </w:pPr>
      <w:r>
        <w:rPr>
          <w:spacing w:val="8"/>
        </w:rPr>
        <w:t>3.战略联盟的概念、类型及特点</w:t>
      </w:r>
      <w:r>
        <w:rPr/>
        <w:t xml:space="preserve"> </w:t>
      </w:r>
      <w:r>
        <w:rPr>
          <w:spacing w:val="8"/>
        </w:rPr>
        <w:t>4.战略联盟的选择及管理</w:t>
      </w:r>
    </w:p>
    <w:p>
      <w:pPr>
        <w:spacing w:line="355" w:lineRule="auto"/>
        <w:sectPr>
          <w:headerReference w:type="default" r:id="rId1"/>
          <w:footerReference w:type="default" r:id="rId6"/>
          <w:pgSz w:w="11906" w:h="16839"/>
          <w:pgMar w:top="1104" w:right="1785" w:bottom="1443" w:left="1785" w:header="1090" w:footer="1202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48"/>
        <w:spacing w:before="101" w:line="227" w:lineRule="auto"/>
        <w:rPr/>
      </w:pPr>
      <w:r>
        <w:rPr>
          <w:b/>
          <w:bCs/>
          <w:spacing w:val="-1"/>
        </w:rPr>
        <w:t>第四部分</w:t>
      </w:r>
      <w:r>
        <w:rPr>
          <w:spacing w:val="65"/>
        </w:rPr>
        <w:t xml:space="preserve"> </w:t>
      </w:r>
      <w:r>
        <w:rPr>
          <w:b/>
          <w:bCs/>
          <w:spacing w:val="-1"/>
        </w:rPr>
        <w:t>国际企业的职能</w:t>
      </w:r>
    </w:p>
    <w:p>
      <w:pPr>
        <w:pStyle w:val="BodyText"/>
        <w:ind w:left="468" w:right="4382" w:hanging="211"/>
        <w:spacing w:before="242" w:line="356" w:lineRule="auto"/>
        <w:rPr/>
      </w:pPr>
      <w:r>
        <w:rPr>
          <w:spacing w:val="4"/>
        </w:rPr>
        <w:t>第十一章</w:t>
      </w:r>
      <w:r>
        <w:rPr>
          <w:spacing w:val="34"/>
        </w:rPr>
        <w:t xml:space="preserve"> </w:t>
      </w:r>
      <w:r>
        <w:rPr>
          <w:spacing w:val="4"/>
        </w:rPr>
        <w:t>全球营销与研发</w:t>
      </w:r>
      <w:r>
        <w:rPr/>
        <w:t xml:space="preserve"> </w:t>
      </w:r>
      <w:r>
        <w:rPr>
          <w:spacing w:val="6"/>
        </w:rPr>
        <w:t>1.国际营销的概念及发展</w:t>
      </w:r>
    </w:p>
    <w:p>
      <w:pPr>
        <w:pStyle w:val="BodyText"/>
        <w:ind w:left="443" w:right="542" w:firstLine="5"/>
        <w:spacing w:before="53" w:line="361" w:lineRule="auto"/>
        <w:jc w:val="both"/>
        <w:rPr/>
      </w:pPr>
      <w:r>
        <w:rPr>
          <w:spacing w:val="9"/>
        </w:rPr>
        <w:t>2.国际市场营销的市场细分、定位与目标</w:t>
      </w:r>
      <w:r>
        <w:rPr>
          <w:spacing w:val="8"/>
        </w:rPr>
        <w:t>市场的选择</w:t>
      </w:r>
      <w:r>
        <w:rPr/>
        <w:t xml:space="preserve"> </w:t>
      </w:r>
      <w:r>
        <w:rPr>
          <w:spacing w:val="9"/>
        </w:rPr>
        <w:t>3.国际市场营销组合：产品、定价、渠道与促销策略</w:t>
      </w:r>
      <w:r>
        <w:rPr>
          <w:spacing w:val="1"/>
        </w:rPr>
        <w:t xml:space="preserve"> </w:t>
      </w:r>
      <w:r>
        <w:rPr>
          <w:spacing w:val="7"/>
        </w:rPr>
        <w:t>4.国际市场研发</w:t>
      </w:r>
    </w:p>
    <w:p>
      <w:pPr>
        <w:pStyle w:val="BodyText"/>
        <w:ind w:left="468" w:right="3472" w:hanging="211"/>
        <w:spacing w:before="51" w:line="356" w:lineRule="auto"/>
        <w:rPr/>
      </w:pPr>
      <w:r>
        <w:rPr>
          <w:spacing w:val="7"/>
        </w:rPr>
        <w:t>第十二章</w:t>
      </w:r>
      <w:r>
        <w:rPr>
          <w:spacing w:val="7"/>
        </w:rPr>
        <w:t xml:space="preserve"> </w:t>
      </w:r>
      <w:r>
        <w:rPr>
          <w:spacing w:val="7"/>
        </w:rPr>
        <w:t>全球生产与供应链管理</w:t>
      </w:r>
      <w:r>
        <w:rPr>
          <w:spacing w:val="3"/>
        </w:rPr>
        <w:t xml:space="preserve"> </w:t>
      </w:r>
      <w:r>
        <w:rPr>
          <w:spacing w:val="4"/>
        </w:rPr>
        <w:t>1.集中和分散生产</w:t>
      </w:r>
    </w:p>
    <w:p>
      <w:pPr>
        <w:pStyle w:val="BodyText"/>
        <w:ind w:left="451" w:right="4062" w:hanging="2"/>
        <w:spacing w:before="52" w:line="356" w:lineRule="auto"/>
        <w:rPr/>
      </w:pPr>
      <w:r>
        <w:rPr>
          <w:spacing w:val="7"/>
        </w:rPr>
        <w:t>2.国外生产选址的长期战略</w:t>
      </w:r>
      <w:r>
        <w:rPr>
          <w:spacing w:val="10"/>
        </w:rPr>
        <w:t xml:space="preserve"> </w:t>
      </w:r>
      <w:r>
        <w:rPr/>
        <w:t>3.</w:t>
      </w:r>
      <w:r>
        <w:rPr>
          <w:spacing w:val="-66"/>
        </w:rPr>
        <w:t xml:space="preserve"> </w:t>
      </w:r>
      <w:r>
        <w:rPr/>
        <w:t>自制与采购的决策依据</w:t>
      </w:r>
    </w:p>
    <w:p>
      <w:pPr>
        <w:pStyle w:val="BodyText"/>
        <w:ind w:left="443"/>
        <w:spacing w:before="53" w:line="228" w:lineRule="auto"/>
        <w:rPr/>
      </w:pPr>
      <w:r>
        <w:rPr>
          <w:spacing w:val="8"/>
        </w:rPr>
        <w:t>4.全球供应链的概念与管理</w:t>
      </w:r>
    </w:p>
    <w:p>
      <w:pPr>
        <w:pStyle w:val="BodyText"/>
        <w:ind w:left="257"/>
        <w:spacing w:before="241" w:line="228" w:lineRule="auto"/>
        <w:rPr/>
      </w:pPr>
      <w:r>
        <w:rPr>
          <w:spacing w:val="6"/>
        </w:rPr>
        <w:t>第十三章</w:t>
      </w:r>
      <w:r>
        <w:rPr>
          <w:spacing w:val="6"/>
        </w:rPr>
        <w:t xml:space="preserve"> </w:t>
      </w:r>
      <w:r>
        <w:rPr>
          <w:spacing w:val="6"/>
        </w:rPr>
        <w:t>全球人力资源管理</w:t>
      </w:r>
    </w:p>
    <w:p>
      <w:pPr>
        <w:pStyle w:val="BodyText"/>
        <w:ind w:left="449" w:right="3741" w:firstLine="19"/>
        <w:spacing w:before="242" w:line="356" w:lineRule="auto"/>
        <w:rPr/>
      </w:pPr>
      <w:r>
        <w:rPr>
          <w:spacing w:val="6"/>
        </w:rPr>
        <w:t>1.人力资源管理的概念和作用</w:t>
      </w:r>
      <w:r>
        <w:rPr>
          <w:spacing w:val="9"/>
        </w:rPr>
        <w:t xml:space="preserve"> </w:t>
      </w:r>
      <w:r>
        <w:rPr>
          <w:spacing w:val="7"/>
        </w:rPr>
        <w:t>2.国际企业的人员配备政策</w:t>
      </w:r>
    </w:p>
    <w:p>
      <w:pPr>
        <w:pStyle w:val="BodyText"/>
        <w:ind w:left="451"/>
        <w:spacing w:before="52" w:line="229" w:lineRule="auto"/>
        <w:rPr/>
      </w:pPr>
      <w:r>
        <w:rPr>
          <w:spacing w:val="7"/>
        </w:rPr>
        <w:t>3.人员培训与管理发展</w:t>
      </w:r>
    </w:p>
    <w:p>
      <w:pPr>
        <w:pStyle w:val="BodyText"/>
        <w:ind w:left="450" w:right="4701" w:hanging="7"/>
        <w:spacing w:before="241" w:line="356" w:lineRule="auto"/>
        <w:rPr/>
      </w:pPr>
      <w:r>
        <w:rPr>
          <w:spacing w:val="8"/>
        </w:rPr>
        <w:t>4.业绩评估与薪酬政策</w:t>
      </w:r>
      <w:r>
        <w:rPr/>
        <w:t xml:space="preserve"> </w:t>
      </w:r>
      <w:r>
        <w:rPr>
          <w:spacing w:val="6"/>
        </w:rPr>
        <w:t>5.国际劳工关系</w:t>
      </w:r>
    </w:p>
    <w:p>
      <w:pPr>
        <w:pStyle w:val="BodyText"/>
        <w:ind w:left="448" w:right="2781" w:hanging="191"/>
        <w:spacing w:before="51" w:line="361" w:lineRule="auto"/>
        <w:rPr/>
      </w:pPr>
      <w:r>
        <w:rPr>
          <w:spacing w:val="4"/>
        </w:rPr>
        <w:t>第十四章</w:t>
      </w:r>
      <w:r>
        <w:rPr>
          <w:spacing w:val="64"/>
        </w:rPr>
        <w:t xml:space="preserve"> </w:t>
      </w:r>
      <w:r>
        <w:rPr>
          <w:spacing w:val="4"/>
        </w:rPr>
        <w:t>国际企业的财务管理与税收</w:t>
      </w:r>
      <w:r>
        <w:rPr/>
        <w:t xml:space="preserve"> </w:t>
      </w:r>
      <w:r>
        <w:rPr>
          <w:spacing w:val="8"/>
        </w:rPr>
        <w:t>1.国际会计准则及各国会计准则差异</w:t>
      </w:r>
      <w:r>
        <w:rPr>
          <w:spacing w:val="6"/>
        </w:rPr>
        <w:t xml:space="preserve"> </w:t>
      </w:r>
      <w:r>
        <w:rPr>
          <w:spacing w:val="7"/>
        </w:rPr>
        <w:t>2.控制系统与会计职能</w:t>
      </w:r>
    </w:p>
    <w:p>
      <w:pPr>
        <w:pStyle w:val="BodyText"/>
        <w:ind w:left="451"/>
        <w:spacing w:before="53" w:line="228" w:lineRule="auto"/>
        <w:rPr/>
      </w:pPr>
      <w:r>
        <w:rPr>
          <w:spacing w:val="8"/>
        </w:rPr>
        <w:t>3.全球财务管理：投融资与货币管理</w:t>
      </w:r>
    </w:p>
    <w:p>
      <w:pPr>
        <w:spacing w:line="228" w:lineRule="auto"/>
        <w:sectPr>
          <w:footerReference w:type="default" r:id="rId7"/>
          <w:pgSz w:w="11906" w:h="16839"/>
          <w:pgMar w:top="1104" w:right="1785" w:bottom="1443" w:left="1785" w:header="1090" w:footer="1202" w:gutter="0"/>
        </w:sectPr>
        <w:rPr/>
      </w:pP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443"/>
        <w:spacing w:before="101" w:line="228" w:lineRule="auto"/>
        <w:rPr/>
      </w:pPr>
      <w:r>
        <w:rPr>
          <w:spacing w:val="8"/>
        </w:rPr>
        <w:t>4.国际税收的概念和特点</w:t>
      </w:r>
    </w:p>
    <w:p>
      <w:pPr>
        <w:pStyle w:val="BodyText"/>
        <w:ind w:left="451"/>
        <w:spacing w:before="241" w:line="224" w:lineRule="auto"/>
        <w:rPr/>
      </w:pPr>
      <w:r>
        <w:rPr>
          <w:spacing w:val="8"/>
        </w:rPr>
        <w:t>5.国际税负管理和跨国资金转移</w:t>
      </w:r>
    </w:p>
    <w:sectPr>
      <w:footerReference w:type="default" r:id="rId8"/>
      <w:pgSz w:w="11906" w:h="16839"/>
      <w:pgMar w:top="1104" w:right="1785" w:bottom="1443" w:left="1785" w:header="1090" w:footer="12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9"/>
      <w:spacing w:line="230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b/>
        <w:bCs/>
        <w:spacing w:val="-4"/>
        <w:position w:val="2"/>
      </w:rPr>
      <w:t>1 </w:t>
    </w:r>
    <w:r>
      <w:rPr>
        <w:rFonts w:ascii="Calibri" w:hAnsi="Calibri" w:eastAsia="Calibri" w:cs="Calibri"/>
        <w:sz w:val="18"/>
        <w:szCs w:val="18"/>
        <w:spacing w:val="-4"/>
        <w:position w:val="2"/>
      </w:rPr>
      <w:t>/</w:t>
    </w:r>
    <w:r>
      <w:rPr>
        <w:rFonts w:ascii="Calibri" w:hAnsi="Calibri" w:eastAsia="Calibri" w:cs="Calibri"/>
        <w:sz w:val="18"/>
        <w:szCs w:val="18"/>
        <w:spacing w:val="7"/>
        <w:position w:val="2"/>
      </w:rPr>
      <w:t xml:space="preserve"> </w:t>
    </w:r>
    <w:r>
      <w:rPr>
        <w:rFonts w:ascii="Calibri" w:hAnsi="Calibri" w:eastAsia="Calibri" w:cs="Calibri"/>
        <w:sz w:val="18"/>
        <w:szCs w:val="18"/>
        <w:b/>
        <w:bCs/>
        <w:spacing w:val="-4"/>
        <w:position w:val="2"/>
      </w:rPr>
      <w:t>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3"/>
      <w:spacing w:line="230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b/>
        <w:bCs/>
        <w:spacing w:val="-3"/>
        <w:position w:val="2"/>
      </w:rPr>
      <w:t>2 </w:t>
    </w:r>
    <w:r>
      <w:rPr>
        <w:rFonts w:ascii="Calibri" w:hAnsi="Calibri" w:eastAsia="Calibri" w:cs="Calibri"/>
        <w:sz w:val="18"/>
        <w:szCs w:val="18"/>
        <w:spacing w:val="-3"/>
        <w:position w:val="2"/>
      </w:rPr>
      <w:t>/</w:t>
    </w:r>
    <w:r>
      <w:rPr>
        <w:rFonts w:ascii="Calibri" w:hAnsi="Calibri" w:eastAsia="Calibri" w:cs="Calibri"/>
        <w:sz w:val="18"/>
        <w:szCs w:val="18"/>
        <w:spacing w:val="8"/>
        <w:position w:val="2"/>
      </w:rPr>
      <w:t xml:space="preserve"> </w:t>
    </w:r>
    <w:r>
      <w:rPr>
        <w:rFonts w:ascii="Calibri" w:hAnsi="Calibri" w:eastAsia="Calibri" w:cs="Calibri"/>
        <w:sz w:val="18"/>
        <w:szCs w:val="18"/>
        <w:b/>
        <w:bCs/>
        <w:spacing w:val="-3"/>
        <w:position w:val="2"/>
      </w:rPr>
      <w:t>6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3"/>
      <w:spacing w:line="230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b/>
        <w:bCs/>
        <w:spacing w:val="-3"/>
        <w:position w:val="2"/>
      </w:rPr>
      <w:t>3 </w:t>
    </w:r>
    <w:r>
      <w:rPr>
        <w:rFonts w:ascii="Calibri" w:hAnsi="Calibri" w:eastAsia="Calibri" w:cs="Calibri"/>
        <w:sz w:val="18"/>
        <w:szCs w:val="18"/>
        <w:spacing w:val="-3"/>
        <w:position w:val="2"/>
      </w:rPr>
      <w:t>/</w:t>
    </w:r>
    <w:r>
      <w:rPr>
        <w:rFonts w:ascii="Calibri" w:hAnsi="Calibri" w:eastAsia="Calibri" w:cs="Calibri"/>
        <w:sz w:val="18"/>
        <w:szCs w:val="18"/>
        <w:spacing w:val="8"/>
        <w:position w:val="2"/>
      </w:rPr>
      <w:t xml:space="preserve"> </w:t>
    </w:r>
    <w:r>
      <w:rPr>
        <w:rFonts w:ascii="Calibri" w:hAnsi="Calibri" w:eastAsia="Calibri" w:cs="Calibri"/>
        <w:sz w:val="18"/>
        <w:szCs w:val="18"/>
        <w:b/>
        <w:bCs/>
        <w:spacing w:val="-3"/>
        <w:position w:val="2"/>
      </w:rPr>
      <w:t>6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9"/>
      <w:spacing w:line="230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b/>
        <w:bCs/>
        <w:spacing w:val="-2"/>
        <w:position w:val="2"/>
      </w:rPr>
      <w:t>4 </w:t>
    </w:r>
    <w:r>
      <w:rPr>
        <w:rFonts w:ascii="Calibri" w:hAnsi="Calibri" w:eastAsia="Calibri" w:cs="Calibri"/>
        <w:sz w:val="18"/>
        <w:szCs w:val="18"/>
        <w:spacing w:val="-2"/>
        <w:position w:val="2"/>
      </w:rPr>
      <w:t>/</w:t>
    </w:r>
    <w:r>
      <w:rPr>
        <w:rFonts w:ascii="Calibri" w:hAnsi="Calibri" w:eastAsia="Calibri" w:cs="Calibri"/>
        <w:sz w:val="18"/>
        <w:szCs w:val="18"/>
        <w:spacing w:val="9"/>
        <w:position w:val="2"/>
      </w:rPr>
      <w:t xml:space="preserve"> </w:t>
    </w:r>
    <w:r>
      <w:rPr>
        <w:rFonts w:ascii="Calibri" w:hAnsi="Calibri" w:eastAsia="Calibri" w:cs="Calibri"/>
        <w:sz w:val="18"/>
        <w:szCs w:val="18"/>
        <w:b/>
        <w:bCs/>
        <w:spacing w:val="-2"/>
        <w:position w:val="2"/>
      </w:rPr>
      <w:t>6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4"/>
      <w:spacing w:line="230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b/>
        <w:bCs/>
        <w:spacing w:val="-3"/>
        <w:position w:val="2"/>
      </w:rPr>
      <w:t>5 </w:t>
    </w:r>
    <w:r>
      <w:rPr>
        <w:rFonts w:ascii="Calibri" w:hAnsi="Calibri" w:eastAsia="Calibri" w:cs="Calibri"/>
        <w:sz w:val="18"/>
        <w:szCs w:val="18"/>
        <w:spacing w:val="-3"/>
        <w:position w:val="2"/>
      </w:rPr>
      <w:t>/</w:t>
    </w:r>
    <w:r>
      <w:rPr>
        <w:rFonts w:ascii="Calibri" w:hAnsi="Calibri" w:eastAsia="Calibri" w:cs="Calibri"/>
        <w:sz w:val="18"/>
        <w:szCs w:val="18"/>
        <w:spacing w:val="7"/>
        <w:position w:val="2"/>
      </w:rPr>
      <w:t xml:space="preserve"> </w:t>
    </w:r>
    <w:r>
      <w:rPr>
        <w:rFonts w:ascii="Calibri" w:hAnsi="Calibri" w:eastAsia="Calibri" w:cs="Calibri"/>
        <w:sz w:val="18"/>
        <w:szCs w:val="18"/>
        <w:b/>
        <w:bCs/>
        <w:spacing w:val="-3"/>
        <w:position w:val="2"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3"/>
      <w:spacing w:line="230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b/>
        <w:bCs/>
        <w:spacing w:val="-3"/>
        <w:position w:val="2"/>
      </w:rPr>
      <w:t>6 </w:t>
    </w:r>
    <w:r>
      <w:rPr>
        <w:rFonts w:ascii="Calibri" w:hAnsi="Calibri" w:eastAsia="Calibri" w:cs="Calibri"/>
        <w:sz w:val="18"/>
        <w:szCs w:val="18"/>
        <w:spacing w:val="-3"/>
        <w:position w:val="2"/>
      </w:rPr>
      <w:t>/</w:t>
    </w:r>
    <w:r>
      <w:rPr>
        <w:rFonts w:ascii="Calibri" w:hAnsi="Calibri" w:eastAsia="Calibri" w:cs="Calibri"/>
        <w:sz w:val="18"/>
        <w:szCs w:val="18"/>
        <w:spacing w:val="8"/>
        <w:position w:val="2"/>
      </w:rPr>
      <w:t xml:space="preserve"> </w:t>
    </w:r>
    <w:r>
      <w:rPr>
        <w:rFonts w:ascii="Calibri" w:hAnsi="Calibri" w:eastAsia="Calibri" w:cs="Calibri"/>
        <w:sz w:val="18"/>
        <w:szCs w:val="18"/>
        <w:b/>
        <w:bCs/>
        <w:spacing w:val="-3"/>
        <w:position w:val="2"/>
      </w:rPr>
      <w:t>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6" w:lineRule="auto"/>
      <w:rPr>
        <w:rFonts w:ascii="Arial"/>
        <w:sz w:val="2"/>
      </w:rPr>
    </w:pPr>
    <w:r>
      <w:pict>
        <v:shape id="_x0000_s2" style="position:absolute;margin-left:90pt;margin-top:54.5pt;mso-position-vertical-relative:page;mso-position-horizontal-relative:page;width:415.3pt;height:0.75pt;z-index:251658240;" o:allowincell="f" fillcolor="#000000" filled="true" stroked="false" coordsize="8305,15" coordorigin="0,0" path="m,l8305,0l8305,14l0,14l0,0xe"/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6" w:lineRule="auto"/>
      <w:rPr>
        <w:rFonts w:ascii="Arial"/>
        <w:sz w:val="2"/>
      </w:rPr>
    </w:pPr>
    <w:r>
      <w:pict>
        <v:shape id="_x0000_s4" style="position:absolute;margin-left:90pt;margin-top:54.5pt;mso-position-vertical-relative:page;mso-position-horizontal-relative:page;width:415.3pt;height:0.75pt;z-index:251660288;" o:allowincell="f" fillcolor="#000000" filled="true" stroked="false" coordsize="8305,15" coordorigin="0,0" path="m,l8305,0l8305,14l0,14l0,0xe"/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header" Target="header2.xml"/><Relationship Id="rId3" Type="http://schemas.openxmlformats.org/officeDocument/2006/relationships/footer" Target="footer2.xml"/><Relationship Id="rId2" Type="http://schemas.openxmlformats.org/officeDocument/2006/relationships/footer" Target="footer1.xml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dcterms:created xsi:type="dcterms:W3CDTF">2024-10-09T17:08:36Z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2024-12-16T11:06:56</vt:filetime>
  </property>
</Properties>
</file>