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F646">
      <w:pPr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南京信息工程大学同等学力硕士研究生招生入学考试加试科目</w:t>
      </w:r>
    </w:p>
    <w:p w14:paraId="63EA2AF4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考试大纲</w:t>
      </w:r>
    </w:p>
    <w:p w14:paraId="64A4517A">
      <w:pPr>
        <w:pStyle w:val="5"/>
        <w:rPr>
          <w:rFonts w:hint="eastAsia"/>
        </w:rPr>
      </w:pPr>
    </w:p>
    <w:p w14:paraId="3FA85463"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</w:rPr>
        <w:t>科目代码：</w:t>
      </w:r>
      <w:r>
        <w:rPr>
          <w:rFonts w:hint="eastAsia"/>
          <w:lang w:val="en-US" w:eastAsia="zh-CN"/>
        </w:rPr>
        <w:t>T57</w:t>
      </w:r>
    </w:p>
    <w:p w14:paraId="41BA9D54">
      <w:pPr>
        <w:pStyle w:val="5"/>
        <w:rPr>
          <w:rFonts w:hint="eastAsia"/>
        </w:rPr>
      </w:pPr>
      <w:r>
        <w:rPr>
          <w:rFonts w:hint="eastAsia"/>
        </w:rPr>
        <w:t>科目名称：微观经济学</w:t>
      </w:r>
    </w:p>
    <w:p w14:paraId="42E7EA7E">
      <w:pPr>
        <w:rPr>
          <w:rFonts w:hint="eastAsia"/>
        </w:rPr>
      </w:pPr>
    </w:p>
    <w:p w14:paraId="594ACB2B">
      <w:pPr>
        <w:numPr>
          <w:ilvl w:val="0"/>
          <w:numId w:val="1"/>
        </w:num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目标与基本要求</w:t>
      </w:r>
    </w:p>
    <w:p w14:paraId="65D6A47D">
      <w:pPr>
        <w:jc w:val="left"/>
        <w:rPr>
          <w:rFonts w:hint="eastAsia"/>
          <w:b/>
          <w:bCs/>
          <w:sz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掌握考试大纲中所涉及的基本概念和理论方法，并能将所学理论应用于实际问题的分析中。</w:t>
      </w:r>
    </w:p>
    <w:p w14:paraId="4213B1C7">
      <w:pPr>
        <w:jc w:val="center"/>
        <w:rPr>
          <w:rFonts w:hint="eastAsia"/>
          <w:b/>
          <w:bCs/>
          <w:sz w:val="28"/>
        </w:rPr>
      </w:pPr>
    </w:p>
    <w:p w14:paraId="25778442">
      <w:pPr>
        <w:numPr>
          <w:ilvl w:val="0"/>
          <w:numId w:val="1"/>
        </w:num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具体内容</w:t>
      </w:r>
    </w:p>
    <w:p w14:paraId="37BC0C43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1</w:t>
      </w:r>
      <w:r>
        <w:rPr>
          <w:rFonts w:ascii="&amp;quot" w:hAnsi="&amp;quot"/>
          <w:color w:val="191919"/>
          <w:sz w:val="21"/>
          <w:szCs w:val="21"/>
        </w:rPr>
        <w:t xml:space="preserve">. </w:t>
      </w:r>
      <w:r>
        <w:rPr>
          <w:rFonts w:hint="eastAsia" w:ascii="&amp;quot" w:hAnsi="&amp;quot"/>
          <w:color w:val="191919"/>
          <w:sz w:val="21"/>
          <w:szCs w:val="21"/>
        </w:rPr>
        <w:t>需求、供给和均衡价格</w:t>
      </w:r>
    </w:p>
    <w:p w14:paraId="06E450BD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需求</w:t>
      </w:r>
    </w:p>
    <w:p w14:paraId="6FCF3305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供给</w:t>
      </w:r>
    </w:p>
    <w:p w14:paraId="1B4278E5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市场均衡</w:t>
      </w:r>
    </w:p>
    <w:p w14:paraId="4A98F5D9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弹性</w:t>
      </w:r>
    </w:p>
    <w:p w14:paraId="352C1376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4F5E850E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2. </w:t>
      </w:r>
      <w:r>
        <w:rPr>
          <w:rFonts w:hint="eastAsia" w:ascii="&amp;quot" w:hAnsi="&amp;quot"/>
          <w:color w:val="191919"/>
          <w:sz w:val="21"/>
          <w:szCs w:val="21"/>
        </w:rPr>
        <w:t>消费者选择</w:t>
      </w:r>
    </w:p>
    <w:p w14:paraId="1C978892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效用</w:t>
      </w:r>
    </w:p>
    <w:p w14:paraId="7C982EC4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无差异曲线</w:t>
      </w:r>
    </w:p>
    <w:p w14:paraId="21815E7D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预算约束线</w:t>
      </w:r>
    </w:p>
    <w:p w14:paraId="432E207E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消费者均衡</w:t>
      </w:r>
    </w:p>
    <w:p w14:paraId="47B23044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替代效应和收入效应</w:t>
      </w:r>
    </w:p>
    <w:p w14:paraId="281196CD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0E618536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3. </w:t>
      </w:r>
      <w:r>
        <w:rPr>
          <w:rFonts w:hint="eastAsia" w:ascii="&amp;quot" w:hAnsi="&amp;quot"/>
          <w:color w:val="191919"/>
          <w:sz w:val="21"/>
          <w:szCs w:val="21"/>
        </w:rPr>
        <w:t>企业的生产和成本</w:t>
      </w:r>
    </w:p>
    <w:p w14:paraId="2C144449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企业</w:t>
      </w:r>
    </w:p>
    <w:p w14:paraId="7C6278A1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短期生产函数</w:t>
      </w:r>
    </w:p>
    <w:p w14:paraId="2036CA1C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长期生产函数</w:t>
      </w:r>
    </w:p>
    <w:p w14:paraId="450D0117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短期成本函数</w:t>
      </w:r>
    </w:p>
    <w:p w14:paraId="1B360DAF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长期成本函数</w:t>
      </w:r>
    </w:p>
    <w:p w14:paraId="2C346F69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300168B1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4. </w:t>
      </w:r>
      <w:r>
        <w:rPr>
          <w:rFonts w:hint="eastAsia" w:ascii="&amp;quot" w:hAnsi="&amp;quot"/>
          <w:color w:val="191919"/>
          <w:sz w:val="21"/>
          <w:szCs w:val="21"/>
        </w:rPr>
        <w:t>完全竞争市场</w:t>
      </w:r>
    </w:p>
    <w:p w14:paraId="701ABF4E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企业收益、市场结构和利润最大化</w:t>
      </w:r>
    </w:p>
    <w:p w14:paraId="0147112F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完全竞争企业面临的需求曲线和收益曲线</w:t>
      </w:r>
    </w:p>
    <w:p w14:paraId="2E970461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完全竞争企业的短期均衡</w:t>
      </w:r>
    </w:p>
    <w:p w14:paraId="237ECE5F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完全竞争企业和市场的长期均衡</w:t>
      </w:r>
    </w:p>
    <w:p w14:paraId="2AEA30E0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493690FB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5. </w:t>
      </w:r>
      <w:r>
        <w:rPr>
          <w:rFonts w:hint="eastAsia" w:ascii="&amp;quot" w:hAnsi="&amp;quot"/>
          <w:color w:val="191919"/>
          <w:sz w:val="21"/>
          <w:szCs w:val="21"/>
        </w:rPr>
        <w:t>不完全竞争市场</w:t>
      </w:r>
    </w:p>
    <w:p w14:paraId="651F72AC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垄断</w:t>
      </w:r>
    </w:p>
    <w:p w14:paraId="3FEF1F99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垄断竞争</w:t>
      </w:r>
    </w:p>
    <w:p w14:paraId="517A1B5A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寡头</w:t>
      </w:r>
    </w:p>
    <w:p w14:paraId="34D4AD59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62E1AA93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6. </w:t>
      </w:r>
      <w:r>
        <w:rPr>
          <w:rFonts w:hint="eastAsia" w:ascii="&amp;quot" w:hAnsi="&amp;quot"/>
          <w:color w:val="191919"/>
          <w:sz w:val="21"/>
          <w:szCs w:val="21"/>
        </w:rPr>
        <w:t>生产要素市场和收入分配</w:t>
      </w:r>
    </w:p>
    <w:p w14:paraId="4A50E747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完全竞争和要素需求</w:t>
      </w:r>
    </w:p>
    <w:p w14:paraId="32C10D72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要素供给的一般理论</w:t>
      </w:r>
    </w:p>
    <w:p w14:paraId="13115329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劳动和工资</w:t>
      </w:r>
    </w:p>
    <w:p w14:paraId="5532DDA2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土地和地租</w:t>
      </w:r>
    </w:p>
    <w:p w14:paraId="3B917B4B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资本和利息</w:t>
      </w:r>
    </w:p>
    <w:p w14:paraId="66ECE3B1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173D0DE4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7. </w:t>
      </w:r>
      <w:r>
        <w:rPr>
          <w:rFonts w:hint="eastAsia" w:ascii="&amp;quot" w:hAnsi="&amp;quot"/>
          <w:color w:val="191919"/>
          <w:sz w:val="21"/>
          <w:szCs w:val="21"/>
        </w:rPr>
        <w:t>一般均衡和效率</w:t>
      </w:r>
    </w:p>
    <w:p w14:paraId="56DDF152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一般均衡</w:t>
      </w:r>
    </w:p>
    <w:p w14:paraId="1A4F9032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经济效率和帕累托最优标准</w:t>
      </w:r>
    </w:p>
    <w:p w14:paraId="1E9EF84B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完全竞争和帕累托最优</w:t>
      </w:r>
    </w:p>
    <w:p w14:paraId="23442A76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</w:p>
    <w:p w14:paraId="1309811C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ascii="&amp;quot" w:hAnsi="&amp;quot"/>
          <w:color w:val="191919"/>
          <w:sz w:val="21"/>
          <w:szCs w:val="21"/>
        </w:rPr>
        <w:t xml:space="preserve">8. </w:t>
      </w:r>
      <w:r>
        <w:rPr>
          <w:rFonts w:hint="eastAsia" w:ascii="&amp;quot" w:hAnsi="&amp;quot"/>
          <w:color w:val="191919"/>
          <w:sz w:val="21"/>
          <w:szCs w:val="21"/>
        </w:rPr>
        <w:t>市场失灵和微观经济政策</w:t>
      </w:r>
    </w:p>
    <w:p w14:paraId="69990882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作为市场失灵因素的垄断</w:t>
      </w:r>
    </w:p>
    <w:p w14:paraId="37DA23C4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公共物品和公共资源</w:t>
      </w:r>
    </w:p>
    <w:p w14:paraId="3F59EFFC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外部性</w:t>
      </w:r>
    </w:p>
    <w:p w14:paraId="62D89607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不完全信息</w:t>
      </w:r>
    </w:p>
    <w:p w14:paraId="4BA3E643">
      <w:pPr>
        <w:pStyle w:val="4"/>
        <w:snapToGrid w:val="0"/>
        <w:spacing w:before="151" w:after="432"/>
        <w:contextualSpacing/>
        <w:rPr>
          <w:rFonts w:ascii="&amp;quot" w:hAnsi="&amp;quot"/>
          <w:color w:val="191919"/>
          <w:sz w:val="21"/>
          <w:szCs w:val="21"/>
        </w:rPr>
      </w:pPr>
      <w:r>
        <w:rPr>
          <w:rFonts w:hint="eastAsia" w:ascii="&amp;quot" w:hAnsi="&amp;quot"/>
          <w:color w:val="191919"/>
          <w:sz w:val="21"/>
          <w:szCs w:val="21"/>
        </w:rPr>
        <w:t>●  公平和收入再分配</w:t>
      </w:r>
    </w:p>
    <w:p w14:paraId="2A400FE5">
      <w:pPr>
        <w:pStyle w:val="4"/>
        <w:snapToGrid w:val="0"/>
        <w:spacing w:before="151" w:after="432"/>
        <w:contextualSpacing/>
        <w:rPr>
          <w:rFonts w:hint="eastAsia" w:ascii="&amp;quot" w:hAnsi="&amp;quot"/>
          <w:color w:val="191919"/>
          <w:sz w:val="21"/>
          <w:szCs w:val="21"/>
        </w:rPr>
      </w:pPr>
    </w:p>
    <w:p w14:paraId="3D7346A4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第三部分  有关说明</w:t>
      </w:r>
    </w:p>
    <w:p w14:paraId="39E09B31">
      <w:pPr>
        <w:widowControl/>
        <w:numPr>
          <w:ilvl w:val="0"/>
          <w:numId w:val="2"/>
        </w:numPr>
        <w:spacing w:line="360" w:lineRule="auto"/>
        <w:ind w:left="359" w:hanging="359" w:hangingChars="171"/>
        <w:jc w:val="left"/>
        <w:rPr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命题说明（可包含题型设计）：</w:t>
      </w:r>
    </w:p>
    <w:p w14:paraId="64B7FEDF">
      <w:pPr>
        <w:widowControl/>
        <w:spacing w:line="360" w:lineRule="auto"/>
        <w:ind w:left="359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主要题型包括：选择题、名词解释、简答、计算、论述等。</w:t>
      </w:r>
    </w:p>
    <w:p w14:paraId="5A3EC67F">
      <w:pPr>
        <w:spacing w:line="360" w:lineRule="auto"/>
        <w:rPr>
          <w:b/>
        </w:rPr>
      </w:pPr>
      <w:r>
        <w:rPr>
          <w:rFonts w:hint="eastAsia"/>
          <w:color w:val="000000"/>
          <w:kern w:val="0"/>
          <w:szCs w:val="21"/>
        </w:rPr>
        <w:t>2、</w:t>
      </w:r>
      <w:r>
        <w:rPr>
          <w:color w:val="000000"/>
          <w:kern w:val="0"/>
          <w:szCs w:val="21"/>
        </w:rPr>
        <w:t>参考书目:</w:t>
      </w:r>
      <w:r>
        <w:rPr>
          <w:b/>
        </w:rPr>
        <w:t xml:space="preserve"> </w:t>
      </w:r>
    </w:p>
    <w:p w14:paraId="33665FA8">
      <w:pPr>
        <w:spacing w:line="360" w:lineRule="auto"/>
        <w:ind w:firstLine="420" w:firstLine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《</w:t>
      </w:r>
      <w:r>
        <w:rPr>
          <w:rFonts w:hint="eastAsia"/>
          <w:color w:val="000000"/>
          <w:kern w:val="0"/>
          <w:szCs w:val="21"/>
        </w:rPr>
        <w:t>西方经济学（第二版）上册</w:t>
      </w:r>
      <w:r>
        <w:rPr>
          <w:color w:val="000000"/>
          <w:kern w:val="0"/>
          <w:szCs w:val="21"/>
        </w:rPr>
        <w:t>金融学》，</w:t>
      </w:r>
      <w:r>
        <w:rPr>
          <w:rFonts w:hint="eastAsia"/>
          <w:color w:val="000000"/>
          <w:kern w:val="0"/>
          <w:szCs w:val="21"/>
        </w:rPr>
        <w:t xml:space="preserve">《西方经济学》编写组，高等教育出版社 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。</w:t>
      </w:r>
    </w:p>
    <w:p w14:paraId="5501D863">
      <w:pPr>
        <w:widowControl/>
        <w:spacing w:line="360" w:lineRule="auto"/>
        <w:ind w:left="-73" w:leftChars="-35" w:firstLine="71" w:firstLineChars="34"/>
        <w:jc w:val="left"/>
        <w:rPr>
          <w:rFonts w:hint="eastAsia"/>
        </w:rPr>
      </w:pPr>
      <w:r>
        <w:rPr>
          <w:rFonts w:hint="eastAsia"/>
        </w:rPr>
        <w:t>3、其他规定：考试方式为闭卷笔试，总分</w:t>
      </w:r>
      <w:r>
        <w:t>100</w:t>
      </w:r>
      <w:r>
        <w:rPr>
          <w:rFonts w:hint="eastAsia"/>
        </w:rPr>
        <w:t xml:space="preserve">分，考试时间为 </w:t>
      </w:r>
      <w:r>
        <w:t>120</w:t>
      </w:r>
      <w:r>
        <w:rPr>
          <w:rFonts w:hint="eastAsia"/>
        </w:rPr>
        <w:t xml:space="preserve"> 分钟；</w:t>
      </w:r>
      <w:r>
        <w:t>加试成绩不记入复试总成绩，任意一门加试科目成绩低于60分为加试不合格。</w:t>
      </w:r>
    </w:p>
    <w:p w14:paraId="1A589C68">
      <w:pPr>
        <w:widowControl/>
        <w:spacing w:line="360" w:lineRule="auto"/>
        <w:jc w:val="left"/>
        <w:rPr>
          <w:rFonts w:hint="eastAsia"/>
        </w:rPr>
      </w:pPr>
      <w:r>
        <w:rPr>
          <w:rFonts w:hint="eastAsia"/>
        </w:rPr>
        <w:t>4、本科目考试不得使用计算器。</w:t>
      </w:r>
    </w:p>
    <w:p w14:paraId="57F3AD9B">
      <w:pPr>
        <w:widowControl/>
        <w:spacing w:line="400" w:lineRule="exact"/>
        <w:ind w:left="-359" w:leftChars="-171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CAB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2</w:t>
    </w:r>
    <w:r>
      <w:fldChar w:fldCharType="end"/>
    </w:r>
  </w:p>
  <w:p w14:paraId="529675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2288A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83FC89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A86FD"/>
    <w:multiLevelType w:val="singleLevel"/>
    <w:tmpl w:val="23AA86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FE1378"/>
    <w:multiLevelType w:val="singleLevel"/>
    <w:tmpl w:val="26FE137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426082"/>
    <w:rsid w:val="0002414D"/>
    <w:rsid w:val="00076C15"/>
    <w:rsid w:val="00085E9B"/>
    <w:rsid w:val="000A606B"/>
    <w:rsid w:val="000C5863"/>
    <w:rsid w:val="000D00F4"/>
    <w:rsid w:val="0010484C"/>
    <w:rsid w:val="00137E9B"/>
    <w:rsid w:val="001726CD"/>
    <w:rsid w:val="001805E4"/>
    <w:rsid w:val="001C2C82"/>
    <w:rsid w:val="001D05DF"/>
    <w:rsid w:val="001E3CD1"/>
    <w:rsid w:val="0020264A"/>
    <w:rsid w:val="00224D99"/>
    <w:rsid w:val="002559B3"/>
    <w:rsid w:val="0026598C"/>
    <w:rsid w:val="0026761F"/>
    <w:rsid w:val="002C3975"/>
    <w:rsid w:val="002C7368"/>
    <w:rsid w:val="00351069"/>
    <w:rsid w:val="0037049F"/>
    <w:rsid w:val="0038679A"/>
    <w:rsid w:val="003B70A9"/>
    <w:rsid w:val="003E4C46"/>
    <w:rsid w:val="00402FA4"/>
    <w:rsid w:val="00426082"/>
    <w:rsid w:val="00492BD7"/>
    <w:rsid w:val="004B2720"/>
    <w:rsid w:val="004F3D0C"/>
    <w:rsid w:val="00507A7E"/>
    <w:rsid w:val="00550C3B"/>
    <w:rsid w:val="0059499F"/>
    <w:rsid w:val="006D415B"/>
    <w:rsid w:val="006F4258"/>
    <w:rsid w:val="00721868"/>
    <w:rsid w:val="00747CD8"/>
    <w:rsid w:val="00757B72"/>
    <w:rsid w:val="007B5238"/>
    <w:rsid w:val="00862DCF"/>
    <w:rsid w:val="00863021"/>
    <w:rsid w:val="00892872"/>
    <w:rsid w:val="008A1EB1"/>
    <w:rsid w:val="00910703"/>
    <w:rsid w:val="00915EAF"/>
    <w:rsid w:val="00933C2F"/>
    <w:rsid w:val="009557A9"/>
    <w:rsid w:val="00957F26"/>
    <w:rsid w:val="009C647F"/>
    <w:rsid w:val="009D1E8C"/>
    <w:rsid w:val="00A519CB"/>
    <w:rsid w:val="00A6653D"/>
    <w:rsid w:val="00A7478F"/>
    <w:rsid w:val="00AB6347"/>
    <w:rsid w:val="00B327E0"/>
    <w:rsid w:val="00BA1CEA"/>
    <w:rsid w:val="00BC0FD6"/>
    <w:rsid w:val="00BD1EEF"/>
    <w:rsid w:val="00BE3A71"/>
    <w:rsid w:val="00C20319"/>
    <w:rsid w:val="00C4241C"/>
    <w:rsid w:val="00C75F1F"/>
    <w:rsid w:val="00CB2650"/>
    <w:rsid w:val="00CB5263"/>
    <w:rsid w:val="00D250B8"/>
    <w:rsid w:val="00D66AB1"/>
    <w:rsid w:val="00D96A78"/>
    <w:rsid w:val="00DD6D7D"/>
    <w:rsid w:val="00DE681E"/>
    <w:rsid w:val="00E44D6C"/>
    <w:rsid w:val="00E74391"/>
    <w:rsid w:val="00E84EAB"/>
    <w:rsid w:val="00E97344"/>
    <w:rsid w:val="00EB495E"/>
    <w:rsid w:val="00ED0EBC"/>
    <w:rsid w:val="00EE0E99"/>
    <w:rsid w:val="00EF0402"/>
    <w:rsid w:val="00F21C41"/>
    <w:rsid w:val="00F430C9"/>
    <w:rsid w:val="00F72658"/>
    <w:rsid w:val="00FD3A08"/>
    <w:rsid w:val="0D0308B6"/>
    <w:rsid w:val="22931268"/>
    <w:rsid w:val="2750052A"/>
    <w:rsid w:val="2E1A25F0"/>
    <w:rsid w:val="32D642CA"/>
    <w:rsid w:val="3C9C547C"/>
    <w:rsid w:val="51F00469"/>
    <w:rsid w:val="5C136950"/>
    <w:rsid w:val="5C7D574E"/>
    <w:rsid w:val="78753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index 1"/>
    <w:basedOn w:val="1"/>
    <w:next w:val="1"/>
    <w:semiHidden/>
    <w:uiPriority w:val="0"/>
    <w:rPr>
      <w:rFonts w:ascii="宋体" w:hAnsi="宋体"/>
      <w:sz w:val="24"/>
    </w:rPr>
  </w:style>
  <w:style w:type="character" w:styleId="8">
    <w:name w:val="page number"/>
    <w:uiPriority w:val="0"/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2023-12-02T02:41:00Z</dcterms:created>
  <dc:creator>MC SYSTEM</dc:creator>
  <cp:lastModifiedBy>vertesyuan</cp:lastModifiedBy>
  <cp:lastPrinted>2013-09-03T09:14:00Z</cp:lastPrinted>
  <dcterms:modified xsi:type="dcterms:W3CDTF">2024-12-16T02:20:42Z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117CC38D85094606BD3BA67E243436FF_13</vt:lpwstr>
  </property>
</Properties>
</file>