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66" w:lineRule="auto"/>
        <w:rPr>
          <w:rFonts w:ascii="Arial"/>
          <w:sz w:val="21"/>
        </w:rPr>
      </w:pPr>
      <w:r/>
    </w:p>
    <w:p>
      <w:pPr>
        <w:ind w:left="2876"/>
        <w:spacing w:before="146" w:line="351" w:lineRule="exact"/>
        <w:outlineLvl w:val="0"/>
        <w:rPr>
          <w:rFonts w:ascii="Microsoft YaHei" w:hAnsi="Microsoft YaHei" w:eastAsia="Microsoft YaHei" w:cs="Microsoft YaHei"/>
          <w:sz w:val="34"/>
          <w:szCs w:val="34"/>
        </w:rPr>
      </w:pPr>
      <w:r>
        <w:rPr>
          <w:rFonts w:ascii="Arial" w:hAnsi="Arial" w:eastAsia="Arial" w:cs="Arial"/>
          <w:sz w:val="34"/>
          <w:szCs w:val="34"/>
          <w:spacing w:val="11"/>
          <w:position w:val="-1"/>
        </w:rPr>
        <w:t>902</w:t>
      </w:r>
      <w:r>
        <w:rPr>
          <w:rFonts w:ascii="Arial" w:hAnsi="Arial" w:eastAsia="Arial" w:cs="Arial"/>
          <w:sz w:val="34"/>
          <w:szCs w:val="34"/>
          <w:spacing w:val="8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34"/>
          <w:szCs w:val="34"/>
          <w:spacing w:val="11"/>
          <w:position w:val="-1"/>
        </w:rPr>
        <w:t>规划设计与分析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568"/>
        <w:spacing w:before="91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一、考试总体要求</w:t>
      </w:r>
    </w:p>
    <w:p>
      <w:pPr>
        <w:pStyle w:val="BodyText"/>
        <w:ind w:left="2" w:firstLine="562"/>
        <w:spacing w:before="152" w:line="321" w:lineRule="auto"/>
        <w:jc w:val="both"/>
        <w:rPr/>
      </w:pPr>
      <w:r>
        <w:rPr>
          <w:spacing w:val="1"/>
        </w:rPr>
        <w:t>本考试主要针对报考城乡规划学和城乡规划的硕士研究生的考生。主</w:t>
      </w:r>
      <w:r>
        <w:rPr>
          <w:spacing w:val="5"/>
        </w:rPr>
        <w:t xml:space="preserve"> </w:t>
      </w:r>
      <w:r>
        <w:rPr>
          <w:spacing w:val="1"/>
        </w:rPr>
        <w:t>要考核考生掌握并运用城市规划设计知识进行设计的综合能力。考察重点</w:t>
      </w:r>
      <w:r>
        <w:rPr>
          <w:spacing w:val="5"/>
        </w:rPr>
        <w:t xml:space="preserve"> </w:t>
      </w:r>
      <w:r>
        <w:rPr>
          <w:spacing w:val="-4"/>
        </w:rPr>
        <w:t>包括对城乡规划设计知识的理论与方法的掌握情况，</w:t>
      </w:r>
      <w:r>
        <w:rPr>
          <w:spacing w:val="-5"/>
        </w:rPr>
        <w:t>方案构思与问题分析、</w:t>
      </w:r>
      <w:r>
        <w:rPr/>
        <w:t xml:space="preserve"> </w:t>
      </w:r>
      <w:r>
        <w:rPr>
          <w:spacing w:val="-1"/>
        </w:rPr>
        <w:t>设计创新与表达的能力等。</w:t>
      </w:r>
    </w:p>
    <w:p>
      <w:pPr>
        <w:ind w:left="568"/>
        <w:spacing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二、考试内容及范围</w:t>
      </w:r>
    </w:p>
    <w:p>
      <w:pPr>
        <w:pStyle w:val="BodyText"/>
        <w:ind w:right="98" w:firstLine="563"/>
        <w:spacing w:before="138" w:line="300" w:lineRule="auto"/>
        <w:rPr/>
      </w:pPr>
      <w:r>
        <w:rPr>
          <w:spacing w:val="1"/>
        </w:rPr>
        <w:t>考试内容为完成某一特定功能区的概念规划设计方案，设计主题包括</w:t>
      </w:r>
      <w:r>
        <w:rPr>
          <w:spacing w:val="8"/>
        </w:rPr>
        <w:t xml:space="preserve"> </w:t>
      </w:r>
      <w:r>
        <w:rPr>
          <w:spacing w:val="-2"/>
        </w:rPr>
        <w:t>但不限于：</w:t>
      </w:r>
    </w:p>
    <w:p>
      <w:pPr>
        <w:pStyle w:val="BodyText"/>
        <w:ind w:left="585"/>
        <w:spacing w:line="368" w:lineRule="exact"/>
        <w:rPr/>
      </w:pPr>
      <w:r>
        <w:rPr>
          <w:rFonts w:ascii="Times New Roman" w:hAnsi="Times New Roman" w:eastAsia="Times New Roman" w:cs="Times New Roman"/>
          <w:spacing w:val="-4"/>
          <w:position w:val="1"/>
        </w:rPr>
        <w:t>1.</w:t>
      </w:r>
      <w:r>
        <w:rPr>
          <w:spacing w:val="-4"/>
          <w:position w:val="1"/>
        </w:rPr>
        <w:t>总体规划设计；</w:t>
      </w:r>
    </w:p>
    <w:p>
      <w:pPr>
        <w:pStyle w:val="BodyText"/>
        <w:ind w:left="558"/>
        <w:spacing w:before="109" w:line="369" w:lineRule="exact"/>
        <w:rPr/>
      </w:pPr>
      <w:r>
        <w:rPr>
          <w:rFonts w:ascii="Times New Roman" w:hAnsi="Times New Roman" w:eastAsia="Times New Roman" w:cs="Times New Roman"/>
          <w:spacing w:val="-1"/>
          <w:position w:val="1"/>
        </w:rPr>
        <w:t>2.</w:t>
      </w:r>
      <w:r>
        <w:rPr>
          <w:spacing w:val="-1"/>
          <w:position w:val="1"/>
        </w:rPr>
        <w:t>控制性详细规划；</w:t>
      </w:r>
    </w:p>
    <w:p>
      <w:pPr>
        <w:pStyle w:val="BodyText"/>
        <w:ind w:left="3" w:right="98" w:firstLine="561"/>
        <w:spacing w:before="107" w:line="282" w:lineRule="auto"/>
        <w:rPr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城市居住小区、城市中心地段、城市滨水区、旧城改造、校园等详</w:t>
      </w:r>
      <w:r>
        <w:rPr>
          <w:spacing w:val="14"/>
        </w:rPr>
        <w:t xml:space="preserve"> </w:t>
      </w:r>
      <w:r>
        <w:rPr>
          <w:spacing w:val="-2"/>
        </w:rPr>
        <w:t>细规划设计。</w:t>
      </w:r>
    </w:p>
    <w:p>
      <w:pPr>
        <w:ind w:left="569"/>
        <w:spacing w:before="138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三、考试形式</w:t>
      </w:r>
    </w:p>
    <w:p>
      <w:pPr>
        <w:pStyle w:val="BodyText"/>
        <w:ind w:left="5" w:right="97" w:firstLine="559"/>
        <w:spacing w:before="97" w:line="311" w:lineRule="auto"/>
        <w:rPr/>
      </w:pPr>
      <w:r>
        <w:rPr>
          <w:spacing w:val="-1"/>
        </w:rPr>
        <w:t>本考试为闭卷考试，满分为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150 </w:t>
      </w:r>
      <w:r>
        <w:rPr>
          <w:spacing w:val="-1"/>
        </w:rPr>
        <w:t>分，考试时间为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180 </w:t>
      </w:r>
      <w:r>
        <w:rPr>
          <w:spacing w:val="-1"/>
        </w:rPr>
        <w:t>分钟，图纸规格</w:t>
      </w:r>
      <w:r>
        <w:rPr/>
        <w:t xml:space="preserve"> </w:t>
      </w:r>
      <w:r>
        <w:rPr>
          <w:spacing w:val="-5"/>
        </w:rPr>
        <w:t>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A3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5"/>
        </w:rPr>
        <w:t>，表达工具不限。</w:t>
      </w:r>
    </w:p>
    <w:p>
      <w:pPr>
        <w:ind w:left="580"/>
        <w:spacing w:before="51" w:line="223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四、题型及分值</w:t>
      </w:r>
    </w:p>
    <w:p>
      <w:pPr>
        <w:pStyle w:val="BodyText"/>
        <w:ind w:left="585"/>
        <w:spacing w:before="108" w:line="369" w:lineRule="exact"/>
        <w:rPr/>
      </w:pPr>
      <w:r>
        <w:rPr>
          <w:rFonts w:ascii="Times New Roman" w:hAnsi="Times New Roman" w:eastAsia="Times New Roman" w:cs="Times New Roman"/>
          <w:spacing w:val="-4"/>
          <w:position w:val="1"/>
        </w:rPr>
        <w:t>1.</w:t>
      </w:r>
      <w:r>
        <w:rPr>
          <w:spacing w:val="-4"/>
          <w:position w:val="1"/>
        </w:rPr>
        <w:t>规划设计说明，占</w:t>
      </w:r>
      <w:r>
        <w:rPr>
          <w:spacing w:val="-47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</w:rPr>
        <w:t>60%</w:t>
      </w:r>
      <w:r>
        <w:rPr>
          <w:spacing w:val="-4"/>
          <w:position w:val="1"/>
        </w:rPr>
        <w:t>；</w:t>
      </w:r>
    </w:p>
    <w:p>
      <w:pPr>
        <w:pStyle w:val="BodyText"/>
        <w:ind w:left="563"/>
        <w:spacing w:before="161" w:line="221" w:lineRule="auto"/>
        <w:rPr/>
      </w:pPr>
      <w:r>
        <w:rPr>
          <w:spacing w:val="-1"/>
        </w:rPr>
        <w:t>包括规划设计概念说明，总平图，主要技术经济指标；</w:t>
      </w:r>
    </w:p>
    <w:p>
      <w:pPr>
        <w:pStyle w:val="BodyText"/>
        <w:ind w:left="567"/>
        <w:spacing w:before="157" w:line="221" w:lineRule="auto"/>
        <w:rPr/>
      </w:pPr>
      <w:r>
        <w:rPr>
          <w:spacing w:val="-1"/>
        </w:rPr>
        <w:t>总平面图需表达清楚空间结构与功能的关系，且体现对规范的应用。</w:t>
      </w:r>
    </w:p>
    <w:p>
      <w:pPr>
        <w:pStyle w:val="BodyText"/>
        <w:ind w:left="558"/>
        <w:spacing w:before="111" w:line="369" w:lineRule="exact"/>
        <w:rPr/>
      </w:pPr>
      <w:r>
        <w:rPr>
          <w:rFonts w:ascii="Times New Roman" w:hAnsi="Times New Roman" w:eastAsia="Times New Roman" w:cs="Times New Roman"/>
          <w:spacing w:val="-1"/>
          <w:position w:val="1"/>
        </w:rPr>
        <w:t>2.</w:t>
      </w:r>
      <w:r>
        <w:rPr>
          <w:spacing w:val="-1"/>
          <w:position w:val="1"/>
        </w:rPr>
        <w:t>规划设计分析，占</w:t>
      </w:r>
      <w:r>
        <w:rPr>
          <w:spacing w:val="-62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</w:rPr>
        <w:t>20%</w:t>
      </w:r>
      <w:r>
        <w:rPr>
          <w:spacing w:val="-1"/>
          <w:position w:val="1"/>
        </w:rPr>
        <w:t>；</w:t>
      </w:r>
    </w:p>
    <w:p>
      <w:pPr>
        <w:pStyle w:val="BodyText"/>
        <w:ind w:left="563"/>
        <w:spacing w:before="164" w:line="221" w:lineRule="auto"/>
        <w:rPr/>
      </w:pPr>
      <w:r>
        <w:rPr>
          <w:spacing w:val="-1"/>
        </w:rPr>
        <w:t>包括各类分析图和分析文字，分析逻辑应通顺、清晰。</w:t>
      </w:r>
    </w:p>
    <w:p>
      <w:pPr>
        <w:pStyle w:val="BodyText"/>
        <w:ind w:left="564"/>
        <w:spacing w:before="114" w:line="368" w:lineRule="exact"/>
        <w:rPr/>
      </w:pPr>
      <w:r>
        <w:rPr>
          <w:rFonts w:ascii="Times New Roman" w:hAnsi="Times New Roman" w:eastAsia="Times New Roman" w:cs="Times New Roman"/>
          <w:spacing w:val="-1"/>
          <w:position w:val="1"/>
        </w:rPr>
        <w:t>3.</w:t>
      </w:r>
      <w:r>
        <w:rPr>
          <w:spacing w:val="-1"/>
          <w:position w:val="1"/>
        </w:rPr>
        <w:t>规划设计表达效果，占</w:t>
      </w:r>
      <w:r>
        <w:rPr>
          <w:spacing w:val="-65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</w:rPr>
        <w:t>20%</w:t>
      </w:r>
      <w:r>
        <w:rPr>
          <w:spacing w:val="-1"/>
          <w:position w:val="1"/>
        </w:rPr>
        <w:t>；</w:t>
      </w:r>
    </w:p>
    <w:p>
      <w:pPr>
        <w:pStyle w:val="BodyText"/>
        <w:ind w:left="595"/>
        <w:spacing w:before="162" w:line="221" w:lineRule="auto"/>
        <w:rPr/>
      </w:pPr>
      <w:r>
        <w:rPr>
          <w:spacing w:val="-2"/>
        </w:rPr>
        <w:t>以总平图和各类分析图为主，需充分表达设计意图；</w:t>
      </w:r>
    </w:p>
    <w:p>
      <w:pPr>
        <w:pStyle w:val="BodyText"/>
        <w:ind w:left="591"/>
        <w:spacing w:before="155" w:line="221" w:lineRule="auto"/>
        <w:rPr/>
      </w:pPr>
      <w:r>
        <w:rPr>
          <w:spacing w:val="-2"/>
        </w:rPr>
        <w:t>图纸上色不是必需、鼓励用放大比例的空间节点图表达；</w:t>
      </w:r>
    </w:p>
    <w:p>
      <w:pPr>
        <w:spacing w:line="221" w:lineRule="auto"/>
        <w:sectPr>
          <w:footerReference w:type="default" r:id="rId1"/>
          <w:pgSz w:w="12070" w:h="16950"/>
          <w:pgMar w:top="1440" w:right="1373" w:bottom="1921" w:left="1595" w:header="0" w:footer="1606" w:gutter="0"/>
        </w:sectPr>
        <w:rPr/>
      </w:pP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354"/>
        <w:spacing w:before="91" w:line="220" w:lineRule="auto"/>
        <w:rPr/>
      </w:pPr>
      <w:r>
        <w:rPr>
          <w:spacing w:val="-1"/>
        </w:rPr>
        <w:t>鸟瞰图效果图不是必需，鼓励用人眼视角效果图表达。</w:t>
      </w:r>
    </w:p>
    <w:p>
      <w:pPr>
        <w:ind w:left="356"/>
        <w:spacing w:before="143" w:line="223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五、主要参考规范</w:t>
      </w:r>
    </w:p>
    <w:p>
      <w:pPr>
        <w:pStyle w:val="BodyText"/>
        <w:ind w:left="370"/>
        <w:spacing w:before="95" w:line="369" w:lineRule="exact"/>
        <w:rPr/>
      </w:pPr>
      <w:r>
        <w:rPr>
          <w:rFonts w:ascii="Times New Roman" w:hAnsi="Times New Roman" w:eastAsia="Times New Roman" w:cs="Times New Roman"/>
          <w:spacing w:val="-3"/>
          <w:position w:val="1"/>
        </w:rPr>
        <w:t>1.</w:t>
      </w:r>
      <w:r>
        <w:rPr>
          <w:spacing w:val="-3"/>
          <w:position w:val="1"/>
        </w:rPr>
        <w:t>《城市居住区规划设计标准》；</w:t>
      </w:r>
    </w:p>
    <w:p>
      <w:pPr>
        <w:pStyle w:val="BodyText"/>
        <w:ind w:left="343"/>
        <w:spacing w:before="106" w:line="369" w:lineRule="exact"/>
        <w:rPr/>
      </w:pPr>
      <w:r>
        <w:rPr>
          <w:rFonts w:ascii="Times New Roman" w:hAnsi="Times New Roman" w:eastAsia="Times New Roman" w:cs="Times New Roman"/>
          <w:spacing w:val="-1"/>
          <w:position w:val="1"/>
        </w:rPr>
        <w:t>2.</w:t>
      </w:r>
      <w:r>
        <w:rPr>
          <w:spacing w:val="-1"/>
          <w:position w:val="1"/>
        </w:rPr>
        <w:t>《完整居住社区建设标准》；</w:t>
      </w:r>
    </w:p>
    <w:p>
      <w:pPr>
        <w:pStyle w:val="BodyText"/>
        <w:ind w:left="349"/>
        <w:spacing w:before="108" w:line="369" w:lineRule="exact"/>
        <w:rPr/>
      </w:pPr>
      <w:r>
        <w:rPr>
          <w:rFonts w:ascii="Times New Roman" w:hAnsi="Times New Roman" w:eastAsia="Times New Roman" w:cs="Times New Roman"/>
          <w:spacing w:val="-1"/>
          <w:position w:val="1"/>
        </w:rPr>
        <w:t>3.</w:t>
      </w:r>
      <w:r>
        <w:rPr>
          <w:spacing w:val="-1"/>
          <w:position w:val="1"/>
        </w:rPr>
        <w:t>《城市道路交通设施设计规范》；</w:t>
      </w:r>
    </w:p>
    <w:p>
      <w:pPr>
        <w:pStyle w:val="BodyText"/>
        <w:ind w:left="341"/>
        <w:spacing w:before="106" w:line="369" w:lineRule="exact"/>
        <w:rPr/>
      </w:pPr>
      <w:r>
        <w:rPr>
          <w:rFonts w:ascii="Times New Roman" w:hAnsi="Times New Roman" w:eastAsia="Times New Roman" w:cs="Times New Roman"/>
          <w:spacing w:val="-1"/>
          <w:position w:val="1"/>
        </w:rPr>
        <w:t>4.</w:t>
      </w:r>
      <w:r>
        <w:rPr>
          <w:spacing w:val="-1"/>
          <w:position w:val="1"/>
        </w:rPr>
        <w:t>《历史文化名城名镇名村保护条例》；</w:t>
      </w:r>
    </w:p>
    <w:p>
      <w:pPr>
        <w:pStyle w:val="BodyText"/>
        <w:ind w:left="350"/>
        <w:spacing w:before="150" w:line="221" w:lineRule="auto"/>
        <w:rPr/>
      </w:pPr>
      <w:r>
        <w:rPr>
          <w:rFonts w:ascii="Times New Roman" w:hAnsi="Times New Roman" w:eastAsia="Times New Roman" w:cs="Times New Roman"/>
          <w:spacing w:val="-1"/>
        </w:rPr>
        <w:t>5.</w:t>
      </w:r>
      <w:r>
        <w:rPr>
          <w:spacing w:val="-1"/>
        </w:rPr>
        <w:t>《城市用地分类与规划建设用地标准》；</w:t>
      </w:r>
    </w:p>
    <w:p>
      <w:pPr>
        <w:pStyle w:val="BodyText"/>
        <w:ind w:left="349"/>
        <w:spacing w:before="99" w:line="369" w:lineRule="exact"/>
        <w:rPr/>
      </w:pPr>
      <w:r>
        <w:rPr>
          <w:rFonts w:ascii="Times New Roman" w:hAnsi="Times New Roman" w:eastAsia="Times New Roman" w:cs="Times New Roman"/>
          <w:spacing w:val="-2"/>
          <w:position w:val="1"/>
        </w:rPr>
        <w:t>6.</w:t>
      </w:r>
      <w:r>
        <w:rPr>
          <w:spacing w:val="-2"/>
          <w:position w:val="1"/>
        </w:rPr>
        <w:t>《城市绿地规划标准》；</w:t>
      </w:r>
    </w:p>
    <w:p>
      <w:pPr>
        <w:pStyle w:val="BodyText"/>
        <w:ind w:left="347"/>
        <w:spacing w:before="147" w:line="221" w:lineRule="auto"/>
        <w:rPr/>
      </w:pPr>
      <w:r>
        <w:rPr>
          <w:rFonts w:ascii="Times New Roman" w:hAnsi="Times New Roman" w:eastAsia="Times New Roman" w:cs="Times New Roman"/>
          <w:spacing w:val="-1"/>
        </w:rPr>
        <w:t>7.</w:t>
      </w:r>
      <w:r>
        <w:rPr>
          <w:spacing w:val="-1"/>
        </w:rPr>
        <w:t>《城市消防规划规范》等。</w:t>
      </w:r>
    </w:p>
    <w:sectPr>
      <w:footerReference w:type="default" r:id="rId2"/>
      <w:pgSz w:w="12070" w:h="16950"/>
      <w:pgMar w:top="1440" w:right="1810" w:bottom="1921" w:left="1810" w:header="0" w:footer="160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4"/>
      <w:spacing w:line="304" w:lineRule="exac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position w:val="1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5"/>
      <w:spacing w:line="304" w:lineRule="exac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position w:val="1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2025-09-11T21:22:10Z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2025-10-16T15:37:12</vt:filetime>
  </property>
</Properties>
</file>